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DEC4EF" w14:textId="14461892" w:rsidR="00511686" w:rsidRPr="00AE5703" w:rsidRDefault="008B389E" w:rsidP="008B389E">
      <w:pPr>
        <w:jc w:val="center"/>
        <w:rPr>
          <w:rFonts w:cs="Times New Roman"/>
          <w:b/>
          <w:sz w:val="32"/>
          <w:szCs w:val="32"/>
        </w:rPr>
      </w:pPr>
      <w:r w:rsidRPr="00AE5703">
        <w:rPr>
          <w:rFonts w:cs="Times New Roman"/>
          <w:b/>
          <w:sz w:val="32"/>
          <w:szCs w:val="32"/>
        </w:rPr>
        <w:t>Middle of what?  East of where?</w:t>
      </w:r>
    </w:p>
    <w:p w14:paraId="602959C7" w14:textId="77777777" w:rsidR="008B389E" w:rsidRPr="00AE5703" w:rsidRDefault="008B389E" w:rsidP="008B389E">
      <w:pPr>
        <w:jc w:val="center"/>
        <w:rPr>
          <w:rFonts w:cs="Times New Roman"/>
        </w:rPr>
      </w:pPr>
    </w:p>
    <w:p w14:paraId="1435C0EB" w14:textId="77777777" w:rsidR="00511686" w:rsidRPr="00AE5703" w:rsidRDefault="00511686" w:rsidP="00511686">
      <w:pPr>
        <w:jc w:val="center"/>
        <w:rPr>
          <w:rFonts w:cs="Times New Roman"/>
          <w:b/>
        </w:rPr>
      </w:pPr>
      <w:r w:rsidRPr="00AE5703">
        <w:rPr>
          <w:rFonts w:cs="Times New Roman"/>
          <w:b/>
        </w:rPr>
        <w:t>Derek Gregory</w:t>
      </w:r>
    </w:p>
    <w:p w14:paraId="6D36C4C5" w14:textId="77777777" w:rsidR="00511686" w:rsidRPr="00AE5703" w:rsidRDefault="00511686" w:rsidP="00511686">
      <w:pPr>
        <w:ind w:left="567" w:right="702"/>
        <w:jc w:val="both"/>
        <w:rPr>
          <w:rFonts w:cs="Times New Roman"/>
          <w:b/>
          <w:bCs/>
          <w:lang w:val="en-US"/>
        </w:rPr>
      </w:pPr>
    </w:p>
    <w:p w14:paraId="6927ABC1" w14:textId="77777777" w:rsidR="00511686" w:rsidRPr="00AE5703" w:rsidRDefault="00511686" w:rsidP="00511686">
      <w:pPr>
        <w:ind w:left="567" w:right="702"/>
        <w:jc w:val="both"/>
        <w:rPr>
          <w:rFonts w:cs="Times New Roman"/>
          <w:lang w:val="en-US"/>
        </w:rPr>
      </w:pPr>
      <w:r w:rsidRPr="00AE5703">
        <w:rPr>
          <w:rFonts w:cs="Times New Roman"/>
          <w:b/>
          <w:bCs/>
          <w:lang w:val="en-US"/>
        </w:rPr>
        <w:t>‘</w:t>
      </w:r>
      <w:r w:rsidRPr="00AE5703">
        <w:rPr>
          <w:rFonts w:cs="Times New Roman"/>
          <w:lang w:val="en-US"/>
        </w:rPr>
        <w:t>I do not divide the world between East and West. They call us the Middle East, but middle to whom? When I come to England I say I am coming to the Middle West. When I go to America I say I am going to the Far West. We have to have the courage to change the language.’</w:t>
      </w:r>
    </w:p>
    <w:p w14:paraId="31F5046C" w14:textId="77777777" w:rsidR="00511686" w:rsidRPr="00AE5703" w:rsidRDefault="00511686" w:rsidP="00511686">
      <w:pPr>
        <w:ind w:left="567" w:right="702"/>
        <w:jc w:val="both"/>
        <w:rPr>
          <w:rFonts w:cs="Times New Roman"/>
          <w:lang w:val="en-US"/>
        </w:rPr>
      </w:pPr>
    </w:p>
    <w:p w14:paraId="1FB77FFF" w14:textId="77777777" w:rsidR="00511686" w:rsidRPr="00AE5703" w:rsidRDefault="00511686" w:rsidP="00511686">
      <w:pPr>
        <w:ind w:left="567" w:right="702"/>
        <w:jc w:val="right"/>
        <w:rPr>
          <w:rFonts w:cs="Times New Roman"/>
          <w:i/>
          <w:lang w:val="en-US"/>
        </w:rPr>
      </w:pPr>
      <w:r w:rsidRPr="00AE5703">
        <w:rPr>
          <w:rFonts w:cs="Times New Roman"/>
          <w:i/>
          <w:lang w:val="en-US"/>
        </w:rPr>
        <w:t>Nawal El-Saadawi</w:t>
      </w:r>
    </w:p>
    <w:p w14:paraId="5DB62E87" w14:textId="77777777" w:rsidR="00511686" w:rsidRPr="00AE5703" w:rsidRDefault="00511686" w:rsidP="00511686">
      <w:pPr>
        <w:ind w:left="567" w:right="702"/>
        <w:jc w:val="both"/>
        <w:rPr>
          <w:rFonts w:cs="Times New Roman"/>
        </w:rPr>
      </w:pPr>
    </w:p>
    <w:p w14:paraId="5E56013E" w14:textId="1BCCD6D1" w:rsidR="00791B19" w:rsidRDefault="00791B19" w:rsidP="00B84FE8">
      <w:pPr>
        <w:spacing w:line="360" w:lineRule="auto"/>
        <w:ind w:right="-7"/>
        <w:jc w:val="both"/>
        <w:rPr>
          <w:rFonts w:cs="Times New Roman"/>
        </w:rPr>
      </w:pPr>
      <w:r w:rsidRPr="00AE5703">
        <w:rPr>
          <w:rFonts w:cs="Times New Roman"/>
        </w:rPr>
        <w:t xml:space="preserve"> </w:t>
      </w:r>
      <w:r w:rsidRPr="00AE5703">
        <w:rPr>
          <w:rFonts w:cs="Times New Roman"/>
        </w:rPr>
        <w:tab/>
        <w:t>I suspect that speaking of ‘the Middle East’ is, to most peop</w:t>
      </w:r>
      <w:r w:rsidR="003010E0">
        <w:rPr>
          <w:rFonts w:cs="Times New Roman"/>
        </w:rPr>
        <w:t xml:space="preserve">le in Europe and North America, </w:t>
      </w:r>
      <w:r w:rsidRPr="00AE5703">
        <w:rPr>
          <w:rFonts w:cs="Times New Roman"/>
        </w:rPr>
        <w:t xml:space="preserve">unexceptional. </w:t>
      </w:r>
      <w:r w:rsidR="006B3FBD">
        <w:rPr>
          <w:rFonts w:cs="Times New Roman"/>
        </w:rPr>
        <w:t xml:space="preserve"> For them i</w:t>
      </w:r>
      <w:r w:rsidR="003010E0">
        <w:rPr>
          <w:rFonts w:cs="Times New Roman"/>
        </w:rPr>
        <w:t xml:space="preserve">t </w:t>
      </w:r>
      <w:r w:rsidRPr="00AE5703">
        <w:rPr>
          <w:rFonts w:cs="Times New Roman"/>
        </w:rPr>
        <w:t>has come to function as a commonplace si</w:t>
      </w:r>
      <w:r w:rsidR="00C729F8" w:rsidRPr="00AE5703">
        <w:rPr>
          <w:rFonts w:cs="Times New Roman"/>
        </w:rPr>
        <w:t>gnifier of an uncommon place</w:t>
      </w:r>
      <w:r w:rsidR="00F83DB5" w:rsidRPr="00AE5703">
        <w:rPr>
          <w:rFonts w:cs="Times New Roman"/>
        </w:rPr>
        <w:t xml:space="preserve">, a term that conjures up a series of images that validate the assumptions that </w:t>
      </w:r>
      <w:r w:rsidR="00394693" w:rsidRPr="00AE5703">
        <w:rPr>
          <w:rFonts w:cs="Times New Roman"/>
        </w:rPr>
        <w:t xml:space="preserve">bring </w:t>
      </w:r>
      <w:r w:rsidR="00F83DB5" w:rsidRPr="00AE5703">
        <w:rPr>
          <w:rFonts w:cs="Times New Roman"/>
        </w:rPr>
        <w:t>it into being</w:t>
      </w:r>
      <w:r w:rsidR="00C729F8" w:rsidRPr="00AE5703">
        <w:rPr>
          <w:rFonts w:cs="Times New Roman"/>
        </w:rPr>
        <w:t xml:space="preserve">. </w:t>
      </w:r>
      <w:r w:rsidR="00B84FE8" w:rsidRPr="00AE5703">
        <w:rPr>
          <w:rFonts w:cs="Times New Roman"/>
        </w:rPr>
        <w:t xml:space="preserve"> In the face of such casual ascriptions </w:t>
      </w:r>
      <w:r w:rsidR="0029311E" w:rsidRPr="00AE5703">
        <w:rPr>
          <w:rFonts w:cs="Times New Roman"/>
        </w:rPr>
        <w:t xml:space="preserve">Egyptian writer </w:t>
      </w:r>
      <w:r w:rsidR="001421F4" w:rsidRPr="00AE5703">
        <w:rPr>
          <w:rFonts w:cs="Times New Roman"/>
        </w:rPr>
        <w:t>Nawal El-Saadawi’s question is a sharp one.  To ask</w:t>
      </w:r>
      <w:r w:rsidR="00B84FE8" w:rsidRPr="00AE5703">
        <w:rPr>
          <w:rFonts w:cs="Times New Roman"/>
        </w:rPr>
        <w:t>:</w:t>
      </w:r>
      <w:r w:rsidR="001421F4" w:rsidRPr="00AE5703">
        <w:rPr>
          <w:rFonts w:cs="Times New Roman"/>
        </w:rPr>
        <w:t xml:space="preserve"> ‘Middle of what?</w:t>
      </w:r>
      <w:r w:rsidR="00FF56D2" w:rsidRPr="00AE5703">
        <w:rPr>
          <w:rFonts w:cs="Times New Roman"/>
        </w:rPr>
        <w:t xml:space="preserve">’ – and </w:t>
      </w:r>
      <w:r w:rsidR="00B84FE8" w:rsidRPr="00AE5703">
        <w:rPr>
          <w:rFonts w:cs="Times New Roman"/>
        </w:rPr>
        <w:t>‘</w:t>
      </w:r>
      <w:r w:rsidR="001421F4" w:rsidRPr="00AE5703">
        <w:rPr>
          <w:rFonts w:cs="Times New Roman"/>
        </w:rPr>
        <w:t>East of where?’</w:t>
      </w:r>
      <w:r w:rsidR="003010E0">
        <w:rPr>
          <w:rFonts w:cs="Times New Roman"/>
        </w:rPr>
        <w:t xml:space="preserve"> </w:t>
      </w:r>
      <w:r w:rsidR="00B84FE8" w:rsidRPr="00AE5703">
        <w:rPr>
          <w:rFonts w:cs="Times New Roman"/>
        </w:rPr>
        <w:t xml:space="preserve">– </w:t>
      </w:r>
      <w:r w:rsidR="001421F4" w:rsidRPr="00AE5703">
        <w:rPr>
          <w:rFonts w:cs="Times New Roman"/>
        </w:rPr>
        <w:t xml:space="preserve">is to draw attention to the </w:t>
      </w:r>
      <w:r w:rsidR="003010E0">
        <w:rPr>
          <w:rFonts w:cs="Times New Roman"/>
        </w:rPr>
        <w:t xml:space="preserve">privileges </w:t>
      </w:r>
      <w:r w:rsidR="001421F4" w:rsidRPr="00AE5703">
        <w:rPr>
          <w:rFonts w:cs="Times New Roman"/>
        </w:rPr>
        <w:t xml:space="preserve">and powers that are </w:t>
      </w:r>
      <w:r w:rsidR="003010E0">
        <w:rPr>
          <w:rFonts w:cs="Times New Roman"/>
        </w:rPr>
        <w:t>written in</w:t>
      </w:r>
      <w:r w:rsidR="001421F4" w:rsidRPr="00AE5703">
        <w:rPr>
          <w:rFonts w:cs="Times New Roman"/>
        </w:rPr>
        <w:t xml:space="preserve">to </w:t>
      </w:r>
      <w:r w:rsidR="003010E0">
        <w:rPr>
          <w:rFonts w:cs="Times New Roman"/>
        </w:rPr>
        <w:t xml:space="preserve">our imaginative geographies.  These are ways of mapping the world that separate ‘our’ space, </w:t>
      </w:r>
      <w:r w:rsidR="00D3513E">
        <w:rPr>
          <w:rFonts w:cs="Times New Roman"/>
        </w:rPr>
        <w:t xml:space="preserve">almost always </w:t>
      </w:r>
      <w:r w:rsidR="003010E0">
        <w:rPr>
          <w:rFonts w:cs="Times New Roman"/>
        </w:rPr>
        <w:t xml:space="preserve">the space </w:t>
      </w:r>
      <w:r w:rsidR="003010E0" w:rsidRPr="00D3513E">
        <w:rPr>
          <w:rFonts w:cs="Times New Roman"/>
          <w:i/>
        </w:rPr>
        <w:t>from</w:t>
      </w:r>
      <w:r w:rsidR="003010E0">
        <w:rPr>
          <w:rFonts w:cs="Times New Roman"/>
        </w:rPr>
        <w:t xml:space="preserve"> which we map, and ‘their’ space’, the space that we most urgently need </w:t>
      </w:r>
      <w:r w:rsidR="003010E0" w:rsidRPr="00D3513E">
        <w:rPr>
          <w:rFonts w:cs="Times New Roman"/>
          <w:i/>
        </w:rPr>
        <w:t xml:space="preserve">to </w:t>
      </w:r>
      <w:r w:rsidR="003010E0">
        <w:rPr>
          <w:rFonts w:cs="Times New Roman"/>
        </w:rPr>
        <w:t xml:space="preserve">map.  The cartographic metaphor reveals a dialectic of subject and object, activity and passivity, </w:t>
      </w:r>
      <w:r w:rsidR="008A04AF">
        <w:rPr>
          <w:rFonts w:cs="Times New Roman"/>
        </w:rPr>
        <w:t xml:space="preserve">that animates a process of imaginative possession – to know in something like the Biblical sense of the word – </w:t>
      </w:r>
      <w:r w:rsidR="003010E0">
        <w:rPr>
          <w:rFonts w:cs="Times New Roman"/>
        </w:rPr>
        <w:t xml:space="preserve">and while there are counter-cartographies that address other, reverse and even reciprocal ways of knowing, often trafficking in the increasingly busy straits between art and cartography, these interventions are </w:t>
      </w:r>
      <w:r w:rsidR="008A04AF">
        <w:rPr>
          <w:rFonts w:cs="Times New Roman"/>
        </w:rPr>
        <w:t xml:space="preserve">driven </w:t>
      </w:r>
      <w:r w:rsidR="003010E0">
        <w:rPr>
          <w:rFonts w:cs="Times New Roman"/>
        </w:rPr>
        <w:t xml:space="preserve">by the imperative to break the spell cast by the conventional imaginative geographies that we routinely invoke </w:t>
      </w:r>
      <w:r w:rsidR="001421F4" w:rsidRPr="00AE5703">
        <w:rPr>
          <w:rFonts w:cs="Times New Roman"/>
        </w:rPr>
        <w:t xml:space="preserve">to categorise and partition, navigate and </w:t>
      </w:r>
      <w:r w:rsidR="00EF5BA6" w:rsidRPr="00AE5703">
        <w:rPr>
          <w:rFonts w:cs="Times New Roman"/>
        </w:rPr>
        <w:t xml:space="preserve">shape </w:t>
      </w:r>
      <w:r w:rsidR="001421F4" w:rsidRPr="00AE5703">
        <w:rPr>
          <w:rFonts w:cs="Times New Roman"/>
        </w:rPr>
        <w:t>the</w:t>
      </w:r>
      <w:r w:rsidR="00B84FE8" w:rsidRPr="00AE5703">
        <w:rPr>
          <w:rFonts w:cs="Times New Roman"/>
        </w:rPr>
        <w:t xml:space="preserve"> world</w:t>
      </w:r>
      <w:r w:rsidR="001421F4" w:rsidRPr="00AE5703">
        <w:rPr>
          <w:rFonts w:cs="Times New Roman"/>
        </w:rPr>
        <w:t xml:space="preserve">.  </w:t>
      </w:r>
      <w:r w:rsidR="00057125" w:rsidRPr="00AE5703">
        <w:rPr>
          <w:rFonts w:cs="Times New Roman"/>
        </w:rPr>
        <w:t>These are never innocent</w:t>
      </w:r>
      <w:r w:rsidR="0029311E" w:rsidRPr="00AE5703">
        <w:rPr>
          <w:rFonts w:cs="Times New Roman"/>
        </w:rPr>
        <w:t xml:space="preserve"> constructions</w:t>
      </w:r>
      <w:r w:rsidR="00057125" w:rsidRPr="00AE5703">
        <w:rPr>
          <w:rFonts w:cs="Times New Roman"/>
        </w:rPr>
        <w:t xml:space="preserve">; </w:t>
      </w:r>
      <w:r w:rsidR="003010E0">
        <w:rPr>
          <w:rFonts w:cs="Times New Roman"/>
        </w:rPr>
        <w:t xml:space="preserve">like all images, </w:t>
      </w:r>
      <w:r w:rsidR="00057125" w:rsidRPr="00AE5703">
        <w:rPr>
          <w:rFonts w:cs="Times New Roman"/>
        </w:rPr>
        <w:t xml:space="preserve">words have the capacity to make the world visible like this (but </w:t>
      </w:r>
      <w:r w:rsidR="00057125" w:rsidRPr="00AE5703">
        <w:rPr>
          <w:rFonts w:cs="Times New Roman"/>
        </w:rPr>
        <w:lastRenderedPageBreak/>
        <w:t>not like that), and to license our acting like this (but not like that).</w:t>
      </w:r>
      <w:r w:rsidR="00EF5BA6" w:rsidRPr="00AE5703">
        <w:rPr>
          <w:rFonts w:cs="Times New Roman"/>
        </w:rPr>
        <w:t xml:space="preserve"> </w:t>
      </w:r>
      <w:r w:rsidR="005313BE" w:rsidRPr="00AE5703">
        <w:rPr>
          <w:rFonts w:cs="Times New Roman"/>
        </w:rPr>
        <w:t xml:space="preserve"> </w:t>
      </w:r>
      <w:r w:rsidR="001A3AC8" w:rsidRPr="00AE5703">
        <w:rPr>
          <w:rFonts w:cs="Times New Roman"/>
        </w:rPr>
        <w:t xml:space="preserve">Yet even </w:t>
      </w:r>
      <w:r w:rsidR="003010E0">
        <w:rPr>
          <w:rFonts w:cs="Times New Roman"/>
        </w:rPr>
        <w:t xml:space="preserve">scholars </w:t>
      </w:r>
      <w:r w:rsidR="001A3AC8" w:rsidRPr="00AE5703">
        <w:rPr>
          <w:rFonts w:cs="Times New Roman"/>
        </w:rPr>
        <w:t xml:space="preserve">whose politics and sympathies differ sharply find common ground in their objection to the term ‘Middle East’.  </w:t>
      </w:r>
      <w:r w:rsidR="00FF56D2" w:rsidRPr="00AE5703">
        <w:rPr>
          <w:rFonts w:cs="Times New Roman"/>
        </w:rPr>
        <w:t xml:space="preserve">Bernard Lewis </w:t>
      </w:r>
      <w:r w:rsidR="003010E0">
        <w:rPr>
          <w:rFonts w:cs="Times New Roman"/>
        </w:rPr>
        <w:t>describes</w:t>
      </w:r>
      <w:r w:rsidR="001A3AC8" w:rsidRPr="00AE5703">
        <w:rPr>
          <w:rFonts w:cs="Times New Roman"/>
        </w:rPr>
        <w:t xml:space="preserve"> it as </w:t>
      </w:r>
      <w:r w:rsidR="00FF56D2" w:rsidRPr="00AE5703">
        <w:rPr>
          <w:rFonts w:cs="Times New Roman"/>
        </w:rPr>
        <w:t>‘meaningless, colorless, shapeless, and for most of the world inaccurate</w:t>
      </w:r>
      <w:r w:rsidR="001F396E" w:rsidRPr="00AE5703">
        <w:rPr>
          <w:rFonts w:cs="Times New Roman"/>
        </w:rPr>
        <w:t xml:space="preserve">’, while </w:t>
      </w:r>
      <w:r w:rsidR="00EF5BA6" w:rsidRPr="00AE5703">
        <w:rPr>
          <w:rFonts w:cs="Times New Roman"/>
        </w:rPr>
        <w:t xml:space="preserve">Rashid Khalidi </w:t>
      </w:r>
      <w:r w:rsidR="003010E0">
        <w:rPr>
          <w:rFonts w:cs="Times New Roman"/>
        </w:rPr>
        <w:t>complains that it i</w:t>
      </w:r>
      <w:r w:rsidR="001F396E" w:rsidRPr="00AE5703">
        <w:rPr>
          <w:rFonts w:cs="Times New Roman"/>
        </w:rPr>
        <w:t xml:space="preserve">s </w:t>
      </w:r>
      <w:r w:rsidR="00EF5BA6" w:rsidRPr="00AE5703">
        <w:rPr>
          <w:rFonts w:cs="Times New Roman"/>
        </w:rPr>
        <w:t>‘Eurocentric, non-geographica</w:t>
      </w:r>
      <w:r w:rsidR="00F83DB5" w:rsidRPr="00AE5703">
        <w:rPr>
          <w:rFonts w:cs="Times New Roman"/>
        </w:rPr>
        <w:t>l and inherently meaningless’</w:t>
      </w:r>
      <w:r w:rsidR="00A35802">
        <w:rPr>
          <w:rFonts w:cs="Times New Roman"/>
        </w:rPr>
        <w:t>.  Alt</w:t>
      </w:r>
      <w:r w:rsidR="00EF5BA6" w:rsidRPr="00AE5703">
        <w:rPr>
          <w:rFonts w:cs="Times New Roman"/>
        </w:rPr>
        <w:t>hough</w:t>
      </w:r>
      <w:r w:rsidR="00A35802">
        <w:rPr>
          <w:rFonts w:cs="Times New Roman"/>
        </w:rPr>
        <w:t xml:space="preserve"> ‘Middle East’ </w:t>
      </w:r>
      <w:r w:rsidR="00EF5BA6" w:rsidRPr="00AE5703">
        <w:rPr>
          <w:rFonts w:cs="Times New Roman"/>
        </w:rPr>
        <w:t>has gained cur</w:t>
      </w:r>
      <w:r w:rsidR="00A35802">
        <w:rPr>
          <w:rFonts w:cs="Times New Roman"/>
        </w:rPr>
        <w:t xml:space="preserve">rency within the region itself, translated </w:t>
      </w:r>
      <w:r w:rsidR="00EF5BA6" w:rsidRPr="00AE5703">
        <w:rPr>
          <w:rFonts w:cs="Times New Roman"/>
        </w:rPr>
        <w:t xml:space="preserve">into Arabic as </w:t>
      </w:r>
      <w:r w:rsidR="00EF5BA6" w:rsidRPr="00AE5703">
        <w:rPr>
          <w:rFonts w:cs="Times New Roman"/>
          <w:i/>
        </w:rPr>
        <w:t>al-sharq al-awsat</w:t>
      </w:r>
      <w:r w:rsidR="00EF5BA6" w:rsidRPr="00AE5703">
        <w:rPr>
          <w:rFonts w:cs="Times New Roman"/>
        </w:rPr>
        <w:t xml:space="preserve">, </w:t>
      </w:r>
      <w:r w:rsidR="0029311E" w:rsidRPr="00AE5703">
        <w:rPr>
          <w:rFonts w:cs="Times New Roman"/>
        </w:rPr>
        <w:t xml:space="preserve">it is </w:t>
      </w:r>
      <w:r w:rsidR="00A35802">
        <w:rPr>
          <w:rFonts w:cs="Times New Roman"/>
        </w:rPr>
        <w:t xml:space="preserve">thoroughly </w:t>
      </w:r>
      <w:r w:rsidR="0029311E" w:rsidRPr="00AE5703">
        <w:rPr>
          <w:rFonts w:cs="Times New Roman"/>
        </w:rPr>
        <w:t xml:space="preserve">counterfeit. </w:t>
      </w:r>
      <w:r w:rsidR="005E794A" w:rsidRPr="00AE5703">
        <w:rPr>
          <w:rStyle w:val="FootnoteReference"/>
          <w:rFonts w:cs="Times New Roman"/>
        </w:rPr>
        <w:footnoteReference w:id="1"/>
      </w:r>
      <w:r w:rsidR="0029311E" w:rsidRPr="00AE5703">
        <w:rPr>
          <w:rFonts w:cs="Times New Roman"/>
        </w:rPr>
        <w:t xml:space="preserve"> </w:t>
      </w:r>
      <w:r w:rsidR="00FF56D2" w:rsidRPr="00AE5703">
        <w:rPr>
          <w:rFonts w:cs="Times New Roman"/>
        </w:rPr>
        <w:t xml:space="preserve"> </w:t>
      </w:r>
      <w:r w:rsidR="0029311E" w:rsidRPr="00AE5703">
        <w:rPr>
          <w:rFonts w:cs="Times New Roman"/>
        </w:rPr>
        <w:t>In this short essay I want to show how, for this very reason, the term has been used as a means of (unequal) excha</w:t>
      </w:r>
      <w:r w:rsidR="00D3513E">
        <w:rPr>
          <w:rFonts w:cs="Times New Roman"/>
        </w:rPr>
        <w:t xml:space="preserve">nge in a series of </w:t>
      </w:r>
      <w:r w:rsidR="0029311E" w:rsidRPr="00AE5703">
        <w:rPr>
          <w:rFonts w:cs="Times New Roman"/>
        </w:rPr>
        <w:t>historical transactions.</w:t>
      </w:r>
    </w:p>
    <w:p w14:paraId="1C59BE16" w14:textId="77777777" w:rsidR="008A04AF" w:rsidRDefault="008A04AF" w:rsidP="00B84FE8">
      <w:pPr>
        <w:spacing w:line="360" w:lineRule="auto"/>
        <w:ind w:right="-7"/>
        <w:jc w:val="both"/>
        <w:rPr>
          <w:rFonts w:cs="Times New Roman"/>
        </w:rPr>
      </w:pPr>
    </w:p>
    <w:p w14:paraId="39DE0146" w14:textId="54FF8B97" w:rsidR="008A04AF" w:rsidRPr="00AE5703" w:rsidRDefault="00E37C50" w:rsidP="00E37C50">
      <w:pPr>
        <w:spacing w:line="360" w:lineRule="auto"/>
        <w:ind w:right="-7"/>
        <w:jc w:val="center"/>
        <w:rPr>
          <w:rFonts w:cs="Times New Roman"/>
        </w:rPr>
      </w:pPr>
      <w:r>
        <w:rPr>
          <w:rFonts w:cs="Times New Roman"/>
        </w:rPr>
        <w:t>* * *</w:t>
      </w:r>
    </w:p>
    <w:p w14:paraId="153C8ED9" w14:textId="77777777" w:rsidR="00791B19" w:rsidRPr="00AE5703" w:rsidRDefault="00791B19" w:rsidP="00791B19">
      <w:pPr>
        <w:spacing w:line="360" w:lineRule="auto"/>
        <w:ind w:right="-7"/>
        <w:jc w:val="both"/>
        <w:rPr>
          <w:rFonts w:cs="Times New Roman"/>
        </w:rPr>
      </w:pPr>
    </w:p>
    <w:p w14:paraId="12DC35E4" w14:textId="0B10CD5E" w:rsidR="00A35802" w:rsidRDefault="00791B19" w:rsidP="001B1CD6">
      <w:pPr>
        <w:spacing w:line="360" w:lineRule="auto"/>
        <w:ind w:right="-7" w:firstLine="720"/>
        <w:jc w:val="both"/>
        <w:rPr>
          <w:rFonts w:cs="Times New Roman"/>
        </w:rPr>
      </w:pPr>
      <w:r w:rsidRPr="00AE5703">
        <w:rPr>
          <w:rFonts w:cs="Times New Roman"/>
        </w:rPr>
        <w:t>The</w:t>
      </w:r>
      <w:r w:rsidR="00A35802">
        <w:rPr>
          <w:rFonts w:cs="Times New Roman"/>
        </w:rPr>
        <w:t xml:space="preserve"> ‘Middle East’ </w:t>
      </w:r>
      <w:r w:rsidR="005313BE" w:rsidRPr="00AE5703">
        <w:rPr>
          <w:rFonts w:cs="Times New Roman"/>
        </w:rPr>
        <w:t xml:space="preserve">– and the associations and assumptions that are smuggled </w:t>
      </w:r>
      <w:r w:rsidR="00D80E59" w:rsidRPr="00AE5703">
        <w:rPr>
          <w:rFonts w:cs="Times New Roman"/>
        </w:rPr>
        <w:t>in</w:t>
      </w:r>
      <w:r w:rsidR="00D3513E">
        <w:rPr>
          <w:rFonts w:cs="Times New Roman"/>
        </w:rPr>
        <w:t xml:space="preserve">to </w:t>
      </w:r>
      <w:r w:rsidR="00A35802">
        <w:rPr>
          <w:rFonts w:cs="Times New Roman"/>
        </w:rPr>
        <w:t>the world under</w:t>
      </w:r>
      <w:r w:rsidR="00D80E59" w:rsidRPr="00AE5703">
        <w:rPr>
          <w:rFonts w:cs="Times New Roman"/>
        </w:rPr>
        <w:t xml:space="preserve"> </w:t>
      </w:r>
      <w:r w:rsidR="00A35802">
        <w:rPr>
          <w:rFonts w:cs="Times New Roman"/>
        </w:rPr>
        <w:t>its luggage</w:t>
      </w:r>
      <w:r w:rsidR="005313BE" w:rsidRPr="00AE5703">
        <w:rPr>
          <w:rFonts w:cs="Times New Roman"/>
        </w:rPr>
        <w:t xml:space="preserve"> </w:t>
      </w:r>
      <w:r w:rsidR="00A35802">
        <w:rPr>
          <w:rFonts w:cs="Times New Roman"/>
        </w:rPr>
        <w:t xml:space="preserve">label </w:t>
      </w:r>
      <w:r w:rsidR="005313BE" w:rsidRPr="00AE5703">
        <w:rPr>
          <w:rFonts w:cs="Times New Roman"/>
        </w:rPr>
        <w:t xml:space="preserve">– </w:t>
      </w:r>
      <w:r w:rsidRPr="00AE5703">
        <w:rPr>
          <w:rFonts w:cs="Times New Roman"/>
        </w:rPr>
        <w:t xml:space="preserve">has its origins in European and eventually American </w:t>
      </w:r>
      <w:r w:rsidR="00AF3515" w:rsidRPr="00AE5703">
        <w:rPr>
          <w:rFonts w:cs="Times New Roman"/>
        </w:rPr>
        <w:t xml:space="preserve">discourses </w:t>
      </w:r>
      <w:r w:rsidRPr="00AE5703">
        <w:rPr>
          <w:rFonts w:cs="Times New Roman"/>
        </w:rPr>
        <w:t xml:space="preserve">of diplomacy, </w:t>
      </w:r>
      <w:r w:rsidR="00AF3515" w:rsidRPr="00AE5703">
        <w:rPr>
          <w:rFonts w:cs="Times New Roman"/>
        </w:rPr>
        <w:t>geopolitics and security</w:t>
      </w:r>
      <w:r w:rsidRPr="00AE5703">
        <w:rPr>
          <w:rFonts w:cs="Times New Roman"/>
        </w:rPr>
        <w:t xml:space="preserve">, and in a </w:t>
      </w:r>
      <w:r w:rsidR="00A35802">
        <w:rPr>
          <w:rFonts w:cs="Times New Roman"/>
        </w:rPr>
        <w:t xml:space="preserve">more </w:t>
      </w:r>
      <w:r w:rsidR="00D3513E">
        <w:rPr>
          <w:rFonts w:cs="Times New Roman"/>
        </w:rPr>
        <w:t xml:space="preserve">diffuse cultural register in </w:t>
      </w:r>
      <w:r w:rsidR="00A35802">
        <w:rPr>
          <w:rFonts w:cs="Times New Roman"/>
        </w:rPr>
        <w:t>Euro-American</w:t>
      </w:r>
      <w:r w:rsidRPr="00AE5703">
        <w:rPr>
          <w:rFonts w:cs="Times New Roman"/>
        </w:rPr>
        <w:t xml:space="preserve"> </w:t>
      </w:r>
      <w:r w:rsidR="00AF3515" w:rsidRPr="00AE5703">
        <w:rPr>
          <w:rFonts w:cs="Times New Roman"/>
        </w:rPr>
        <w:t xml:space="preserve">imaginative geographies </w:t>
      </w:r>
      <w:r w:rsidR="00D3513E">
        <w:rPr>
          <w:rFonts w:cs="Times New Roman"/>
        </w:rPr>
        <w:t>of a largely Arab and Muslim</w:t>
      </w:r>
      <w:r w:rsidRPr="00AE5703">
        <w:rPr>
          <w:rFonts w:cs="Times New Roman"/>
        </w:rPr>
        <w:t xml:space="preserve"> ‘Orient’.  The two cross-cut in complex ways, but </w:t>
      </w:r>
      <w:r w:rsidR="00D80E59" w:rsidRPr="00AE5703">
        <w:rPr>
          <w:rFonts w:cs="Times New Roman"/>
        </w:rPr>
        <w:t xml:space="preserve">their modern history begins with </w:t>
      </w:r>
      <w:r w:rsidRPr="00AE5703">
        <w:rPr>
          <w:rFonts w:cs="Times New Roman"/>
        </w:rPr>
        <w:t>Napoleon</w:t>
      </w:r>
      <w:r w:rsidR="00394693" w:rsidRPr="00AE5703">
        <w:rPr>
          <w:rFonts w:cs="Times New Roman"/>
        </w:rPr>
        <w:t xml:space="preserve"> Bonaparte</w:t>
      </w:r>
      <w:r w:rsidRPr="00AE5703">
        <w:rPr>
          <w:rFonts w:cs="Times New Roman"/>
        </w:rPr>
        <w:t xml:space="preserve">’s </w:t>
      </w:r>
      <w:r w:rsidR="00AF3515" w:rsidRPr="00AE5703">
        <w:rPr>
          <w:rFonts w:cs="Times New Roman"/>
        </w:rPr>
        <w:t xml:space="preserve">military expedition to </w:t>
      </w:r>
      <w:r w:rsidRPr="00AE5703">
        <w:rPr>
          <w:rFonts w:cs="Times New Roman"/>
        </w:rPr>
        <w:t xml:space="preserve">Egypt in 1798, </w:t>
      </w:r>
      <w:r w:rsidR="00A35802">
        <w:rPr>
          <w:rFonts w:cs="Times New Roman"/>
        </w:rPr>
        <w:t xml:space="preserve">which was </w:t>
      </w:r>
      <w:r w:rsidRPr="00AE5703">
        <w:rPr>
          <w:rFonts w:cs="Times New Roman"/>
        </w:rPr>
        <w:t xml:space="preserve">in some measure part of a plan to cut Britain’s lines of communication with </w:t>
      </w:r>
      <w:r w:rsidR="00A35802">
        <w:rPr>
          <w:rFonts w:cs="Times New Roman"/>
        </w:rPr>
        <w:t xml:space="preserve">its empire in </w:t>
      </w:r>
      <w:r w:rsidRPr="00AE5703">
        <w:rPr>
          <w:rFonts w:cs="Times New Roman"/>
        </w:rPr>
        <w:t xml:space="preserve">India, and </w:t>
      </w:r>
      <w:r w:rsidR="00D80E59" w:rsidRPr="00AE5703">
        <w:rPr>
          <w:rFonts w:cs="Times New Roman"/>
        </w:rPr>
        <w:t xml:space="preserve">in </w:t>
      </w:r>
      <w:r w:rsidRPr="00AE5703">
        <w:rPr>
          <w:rFonts w:cs="Times New Roman"/>
        </w:rPr>
        <w:t>the bloody</w:t>
      </w:r>
      <w:r w:rsidR="00A35802">
        <w:rPr>
          <w:rFonts w:cs="Times New Roman"/>
        </w:rPr>
        <w:t xml:space="preserve"> but short-lived</w:t>
      </w:r>
      <w:r w:rsidRPr="00AE5703">
        <w:rPr>
          <w:rFonts w:cs="Times New Roman"/>
        </w:rPr>
        <w:t xml:space="preserve"> campaigns he fought through</w:t>
      </w:r>
      <w:r w:rsidR="00A35802">
        <w:rPr>
          <w:rFonts w:cs="Times New Roman"/>
        </w:rPr>
        <w:t xml:space="preserve"> Syria</w:t>
      </w:r>
      <w:r w:rsidRPr="00AE5703">
        <w:rPr>
          <w:rFonts w:cs="Times New Roman"/>
        </w:rPr>
        <w:t xml:space="preserve">.  In invading Egypt, </w:t>
      </w:r>
      <w:r w:rsidR="00AF3515" w:rsidRPr="00AE5703">
        <w:rPr>
          <w:rFonts w:cs="Times New Roman"/>
        </w:rPr>
        <w:t>Juan Cole argues</w:t>
      </w:r>
      <w:r w:rsidRPr="00AE5703">
        <w:rPr>
          <w:rFonts w:cs="Times New Roman"/>
        </w:rPr>
        <w:t>, ‘Bonaparte was inventing what we now call “the modern Middle East”’, and</w:t>
      </w:r>
      <w:r w:rsidR="00FF56D2" w:rsidRPr="00AE5703">
        <w:rPr>
          <w:rFonts w:cs="Times New Roman"/>
        </w:rPr>
        <w:t xml:space="preserve"> – Cole was writing in the </w:t>
      </w:r>
      <w:r w:rsidR="00D80E59" w:rsidRPr="00AE5703">
        <w:rPr>
          <w:rFonts w:cs="Times New Roman"/>
        </w:rPr>
        <w:t>shadow of the American and British invasion of Iraq</w:t>
      </w:r>
      <w:r w:rsidR="006B3FBD">
        <w:rPr>
          <w:rFonts w:cs="Times New Roman"/>
        </w:rPr>
        <w:t xml:space="preserve"> in 2003</w:t>
      </w:r>
      <w:r w:rsidR="00D80E59" w:rsidRPr="00AE5703">
        <w:rPr>
          <w:rFonts w:cs="Times New Roman"/>
        </w:rPr>
        <w:t xml:space="preserve"> – </w:t>
      </w:r>
      <w:r w:rsidRPr="00AE5703">
        <w:rPr>
          <w:rFonts w:cs="Times New Roman"/>
        </w:rPr>
        <w:t xml:space="preserve">‘the similarities of the Corsican general’s rhetoric and tactics to those of later North Atlantic incursions into the region tell us </w:t>
      </w:r>
      <w:r w:rsidR="00A35802">
        <w:rPr>
          <w:rFonts w:cs="Times New Roman"/>
        </w:rPr>
        <w:t xml:space="preserve">much </w:t>
      </w:r>
      <w:r w:rsidRPr="00AE5703">
        <w:rPr>
          <w:rFonts w:cs="Times New Roman"/>
        </w:rPr>
        <w:t xml:space="preserve">about the persistent pathologies of Enlightenment republics.’ </w:t>
      </w:r>
      <w:r w:rsidR="005E794A" w:rsidRPr="00AE5703">
        <w:rPr>
          <w:rStyle w:val="FootnoteReference"/>
          <w:rFonts w:cs="Times New Roman"/>
        </w:rPr>
        <w:footnoteReference w:id="2"/>
      </w:r>
      <w:r w:rsidRPr="00AE5703">
        <w:rPr>
          <w:rFonts w:cs="Times New Roman"/>
        </w:rPr>
        <w:t xml:space="preserve"> </w:t>
      </w:r>
      <w:r w:rsidR="00FF56D2" w:rsidRPr="00AE5703">
        <w:rPr>
          <w:rFonts w:cs="Times New Roman"/>
        </w:rPr>
        <w:t xml:space="preserve"> </w:t>
      </w:r>
    </w:p>
    <w:p w14:paraId="5D53426B" w14:textId="77777777" w:rsidR="00A35802" w:rsidRDefault="00A35802" w:rsidP="001B1CD6">
      <w:pPr>
        <w:spacing w:line="360" w:lineRule="auto"/>
        <w:ind w:right="-7" w:firstLine="720"/>
        <w:jc w:val="both"/>
        <w:rPr>
          <w:rFonts w:cs="Times New Roman"/>
        </w:rPr>
      </w:pPr>
    </w:p>
    <w:p w14:paraId="2568C7D6" w14:textId="551C8256" w:rsidR="001B1CD6" w:rsidRPr="00AE5703" w:rsidRDefault="00FF56D2" w:rsidP="001B1CD6">
      <w:pPr>
        <w:spacing w:line="360" w:lineRule="auto"/>
        <w:ind w:right="-7" w:firstLine="720"/>
        <w:jc w:val="both"/>
        <w:rPr>
          <w:rFonts w:cs="Times New Roman"/>
          <w:lang w:val="en-US"/>
        </w:rPr>
      </w:pPr>
      <w:r w:rsidRPr="00AE5703">
        <w:rPr>
          <w:rFonts w:cs="Times New Roman"/>
        </w:rPr>
        <w:t xml:space="preserve">So they do, but </w:t>
      </w:r>
      <w:r w:rsidR="00D80E59" w:rsidRPr="00AE5703">
        <w:rPr>
          <w:rFonts w:cs="Times New Roman"/>
        </w:rPr>
        <w:t xml:space="preserve">Napoleon’s campaigns were not only political and military adventures; they were also moments in the advance of a cultural imperialism.  </w:t>
      </w:r>
      <w:r w:rsidR="00E072A8" w:rsidRPr="00AE5703">
        <w:rPr>
          <w:rFonts w:cs="Times New Roman"/>
        </w:rPr>
        <w:t xml:space="preserve">This is why Edward </w:t>
      </w:r>
      <w:r w:rsidR="00791B19" w:rsidRPr="00AE5703">
        <w:rPr>
          <w:rFonts w:cs="Times New Roman"/>
        </w:rPr>
        <w:t xml:space="preserve">Said </w:t>
      </w:r>
      <w:r w:rsidR="00AF3515" w:rsidRPr="00AE5703">
        <w:rPr>
          <w:rFonts w:cs="Times New Roman"/>
        </w:rPr>
        <w:t xml:space="preserve">located </w:t>
      </w:r>
      <w:r w:rsidR="00791B19" w:rsidRPr="00AE5703">
        <w:rPr>
          <w:rFonts w:cs="Times New Roman"/>
        </w:rPr>
        <w:t xml:space="preserve">the formation of </w:t>
      </w:r>
      <w:r w:rsidRPr="00AE5703">
        <w:rPr>
          <w:rFonts w:cs="Times New Roman"/>
        </w:rPr>
        <w:t xml:space="preserve">a distinctively </w:t>
      </w:r>
      <w:r w:rsidR="00791B19" w:rsidRPr="00AE5703">
        <w:rPr>
          <w:rFonts w:cs="Times New Roman"/>
        </w:rPr>
        <w:t xml:space="preserve">modern </w:t>
      </w:r>
      <w:r w:rsidR="00AF3515" w:rsidRPr="00AE5703">
        <w:rPr>
          <w:rFonts w:cs="Times New Roman"/>
        </w:rPr>
        <w:t xml:space="preserve">Orientalism </w:t>
      </w:r>
      <w:r w:rsidR="00791B19" w:rsidRPr="00AE5703">
        <w:rPr>
          <w:rFonts w:cs="Times New Roman"/>
        </w:rPr>
        <w:t>in the textual and visual appropriations of Egypt made for a European audience by the scientists, scholars and artists who</w:t>
      </w:r>
      <w:r w:rsidR="00A35802">
        <w:rPr>
          <w:rFonts w:cs="Times New Roman"/>
        </w:rPr>
        <w:t>m</w:t>
      </w:r>
      <w:r w:rsidR="00791B19" w:rsidRPr="00AE5703">
        <w:rPr>
          <w:rFonts w:cs="Times New Roman"/>
        </w:rPr>
        <w:t xml:space="preserve"> </w:t>
      </w:r>
      <w:r w:rsidRPr="00AE5703">
        <w:rPr>
          <w:rFonts w:cs="Times New Roman"/>
        </w:rPr>
        <w:t xml:space="preserve">he had accompany his </w:t>
      </w:r>
      <w:r w:rsidR="00791B19" w:rsidRPr="00AE5703">
        <w:rPr>
          <w:rFonts w:cs="Times New Roman"/>
        </w:rPr>
        <w:t>troops.</w:t>
      </w:r>
      <w:r w:rsidR="00254264">
        <w:rPr>
          <w:rFonts w:cs="Times New Roman"/>
        </w:rPr>
        <w:t xml:space="preserve"> </w:t>
      </w:r>
      <w:r w:rsidR="00254264">
        <w:rPr>
          <w:rStyle w:val="FootnoteReference"/>
          <w:rFonts w:cs="Times New Roman"/>
        </w:rPr>
        <w:footnoteReference w:id="3"/>
      </w:r>
      <w:r w:rsidR="00791B19" w:rsidRPr="00AE5703">
        <w:rPr>
          <w:rFonts w:cs="Times New Roman"/>
        </w:rPr>
        <w:t xml:space="preserve"> </w:t>
      </w:r>
      <w:r w:rsidR="001B1CD6" w:rsidRPr="00AE5703">
        <w:rPr>
          <w:rFonts w:cs="Times New Roman"/>
        </w:rPr>
        <w:t xml:space="preserve"> </w:t>
      </w:r>
      <w:r w:rsidR="00E072A8" w:rsidRPr="00AE5703">
        <w:rPr>
          <w:rFonts w:cs="Times New Roman"/>
        </w:rPr>
        <w:t xml:space="preserve">Orientalism was a cultural repertoire, </w:t>
      </w:r>
      <w:r w:rsidR="00A35802">
        <w:rPr>
          <w:rFonts w:cs="Times New Roman"/>
        </w:rPr>
        <w:t xml:space="preserve">a more or less theatrical performance </w:t>
      </w:r>
      <w:r w:rsidR="00E072A8" w:rsidRPr="00AE5703">
        <w:rPr>
          <w:rFonts w:cs="Times New Roman"/>
        </w:rPr>
        <w:t xml:space="preserve">activated in books, </w:t>
      </w:r>
      <w:r w:rsidR="00A35802">
        <w:rPr>
          <w:rFonts w:cs="Times New Roman"/>
        </w:rPr>
        <w:t xml:space="preserve">paintings, </w:t>
      </w:r>
      <w:r w:rsidR="00E072A8" w:rsidRPr="00AE5703">
        <w:rPr>
          <w:rFonts w:cs="Times New Roman"/>
        </w:rPr>
        <w:t>museums</w:t>
      </w:r>
      <w:r w:rsidR="0090067B">
        <w:rPr>
          <w:rFonts w:cs="Times New Roman"/>
        </w:rPr>
        <w:t>, opera</w:t>
      </w:r>
      <w:r w:rsidR="00E072A8" w:rsidRPr="00AE5703">
        <w:rPr>
          <w:rFonts w:cs="Times New Roman"/>
        </w:rPr>
        <w:t xml:space="preserve"> and eventually film and other media, that characterised and caricatured </w:t>
      </w:r>
      <w:r w:rsidR="00A35802">
        <w:rPr>
          <w:rFonts w:cs="Times New Roman"/>
        </w:rPr>
        <w:t xml:space="preserve">particular peoples and places.  But </w:t>
      </w:r>
      <w:r w:rsidR="00E072A8" w:rsidRPr="00AE5703">
        <w:rPr>
          <w:rFonts w:cs="Times New Roman"/>
        </w:rPr>
        <w:t xml:space="preserve">it was </w:t>
      </w:r>
      <w:r w:rsidR="00A35802">
        <w:rPr>
          <w:rFonts w:cs="Times New Roman"/>
        </w:rPr>
        <w:t xml:space="preserve">also </w:t>
      </w:r>
      <w:r w:rsidR="00E072A8" w:rsidRPr="00AE5703">
        <w:rPr>
          <w:rFonts w:cs="Times New Roman"/>
        </w:rPr>
        <w:t>more than this</w:t>
      </w:r>
      <w:r w:rsidR="00394693" w:rsidRPr="00AE5703">
        <w:rPr>
          <w:rFonts w:cs="Times New Roman"/>
        </w:rPr>
        <w:t xml:space="preserve">.  When </w:t>
      </w:r>
      <w:r w:rsidR="00A35802">
        <w:rPr>
          <w:rFonts w:cs="Times New Roman"/>
        </w:rPr>
        <w:t>Said</w:t>
      </w:r>
      <w:r w:rsidR="00011D8C" w:rsidRPr="00AE5703">
        <w:rPr>
          <w:rFonts w:cs="Times New Roman"/>
        </w:rPr>
        <w:t xml:space="preserve"> </w:t>
      </w:r>
      <w:r w:rsidR="001B1CD6" w:rsidRPr="00AE5703">
        <w:rPr>
          <w:rFonts w:cs="Times New Roman"/>
          <w:lang w:val="en-US"/>
        </w:rPr>
        <w:t>describe</w:t>
      </w:r>
      <w:r w:rsidR="00B84FE8" w:rsidRPr="00AE5703">
        <w:rPr>
          <w:rFonts w:cs="Times New Roman"/>
          <w:lang w:val="en-US"/>
        </w:rPr>
        <w:t>d</w:t>
      </w:r>
      <w:r w:rsidR="001B1CD6" w:rsidRPr="00AE5703">
        <w:rPr>
          <w:rFonts w:cs="Times New Roman"/>
          <w:lang w:val="en-US"/>
        </w:rPr>
        <w:t xml:space="preserve"> Orientalism as a </w:t>
      </w:r>
      <w:r w:rsidR="001B1CD6" w:rsidRPr="00A35802">
        <w:rPr>
          <w:rFonts w:cs="Times New Roman"/>
          <w:i/>
          <w:lang w:val="en-US"/>
        </w:rPr>
        <w:t>discourse</w:t>
      </w:r>
      <w:r w:rsidR="001B1CD6" w:rsidRPr="00AE5703">
        <w:rPr>
          <w:rFonts w:cs="Times New Roman"/>
          <w:lang w:val="en-US"/>
        </w:rPr>
        <w:t xml:space="preserve"> he was calling attention to its </w:t>
      </w:r>
      <w:r w:rsidR="001B1CD6" w:rsidRPr="00A35802">
        <w:rPr>
          <w:rFonts w:cs="Times New Roman"/>
          <w:i/>
          <w:lang w:val="en-US"/>
        </w:rPr>
        <w:t>performative</w:t>
      </w:r>
      <w:r w:rsidR="00A35802">
        <w:rPr>
          <w:rFonts w:cs="Times New Roman"/>
          <w:lang w:val="en-US"/>
        </w:rPr>
        <w:t xml:space="preserve"> power, which is to say </w:t>
      </w:r>
      <w:r w:rsidR="001B1CD6" w:rsidRPr="00AE5703">
        <w:rPr>
          <w:rFonts w:cs="Times New Roman"/>
          <w:lang w:val="en-US"/>
        </w:rPr>
        <w:t xml:space="preserve">its capacity to produce the </w:t>
      </w:r>
      <w:r w:rsidR="00A35802">
        <w:rPr>
          <w:rFonts w:cs="Times New Roman"/>
          <w:lang w:val="en-US"/>
        </w:rPr>
        <w:t xml:space="preserve">very </w:t>
      </w:r>
      <w:r w:rsidR="001B1CD6" w:rsidRPr="00AE5703">
        <w:rPr>
          <w:rFonts w:cs="Times New Roman"/>
          <w:lang w:val="en-US"/>
        </w:rPr>
        <w:t xml:space="preserve">effect it names (‘the Orient’).  That capacity was – and remains – contingent.  It depends on the constellations, conjunctures and circumstances in which Orientalism is activated.  Said focused on its </w:t>
      </w:r>
      <w:r w:rsidR="00A35802">
        <w:rPr>
          <w:rFonts w:cs="Times New Roman"/>
          <w:lang w:val="en-US"/>
        </w:rPr>
        <w:t xml:space="preserve">entanglements </w:t>
      </w:r>
      <w:r w:rsidR="001B1CD6" w:rsidRPr="00AE5703">
        <w:rPr>
          <w:rFonts w:cs="Times New Roman"/>
          <w:lang w:val="en-US"/>
        </w:rPr>
        <w:t xml:space="preserve">with British, French and American modalities of power and </w:t>
      </w:r>
      <w:r w:rsidR="00A35802">
        <w:rPr>
          <w:rFonts w:cs="Times New Roman"/>
          <w:lang w:val="en-US"/>
        </w:rPr>
        <w:t xml:space="preserve">on </w:t>
      </w:r>
      <w:r w:rsidR="001B1CD6" w:rsidRPr="00AE5703">
        <w:rPr>
          <w:rFonts w:cs="Times New Roman"/>
          <w:lang w:val="en-US"/>
        </w:rPr>
        <w:t xml:space="preserve">their </w:t>
      </w:r>
      <w:r w:rsidR="00A35802">
        <w:rPr>
          <w:rFonts w:cs="Times New Roman"/>
          <w:lang w:val="en-US"/>
        </w:rPr>
        <w:t xml:space="preserve">collective (but none the less variable) </w:t>
      </w:r>
      <w:r w:rsidR="001B1CD6" w:rsidRPr="00AE5703">
        <w:rPr>
          <w:rFonts w:cs="Times New Roman"/>
          <w:lang w:val="en-US"/>
        </w:rPr>
        <w:t>prod</w:t>
      </w:r>
      <w:r w:rsidR="00A35802">
        <w:rPr>
          <w:rFonts w:cs="Times New Roman"/>
          <w:lang w:val="en-US"/>
        </w:rPr>
        <w:t xml:space="preserve">uction of a particular ‘Orient’: the Arab ‘Middle East’. </w:t>
      </w:r>
      <w:r w:rsidR="001B1CD6" w:rsidRPr="00AE5703">
        <w:rPr>
          <w:rFonts w:cs="Times New Roman"/>
          <w:lang w:val="en-US"/>
        </w:rPr>
        <w:t>There were other modalities</w:t>
      </w:r>
      <w:r w:rsidR="00A35802">
        <w:rPr>
          <w:rFonts w:cs="Times New Roman"/>
          <w:lang w:val="en-US"/>
        </w:rPr>
        <w:t xml:space="preserve"> – G</w:t>
      </w:r>
      <w:r w:rsidR="0090067B">
        <w:rPr>
          <w:rFonts w:cs="Times New Roman"/>
          <w:lang w:val="en-US"/>
        </w:rPr>
        <w:t>erman and Italian, for example –</w:t>
      </w:r>
      <w:r w:rsidR="001B1CD6" w:rsidRPr="00AE5703">
        <w:rPr>
          <w:rFonts w:cs="Times New Roman"/>
          <w:lang w:val="en-US"/>
        </w:rPr>
        <w:t xml:space="preserve"> and other ‘Orients’, </w:t>
      </w:r>
      <w:r w:rsidR="0090067B">
        <w:rPr>
          <w:rFonts w:cs="Times New Roman"/>
          <w:lang w:val="en-US"/>
        </w:rPr>
        <w:t xml:space="preserve">including India, China and Japan.  But for reasons intimately bound up with his identity as a Palestinian-American, born in Jerusalem and living in New York, </w:t>
      </w:r>
      <w:r w:rsidR="001B1CD6" w:rsidRPr="00AE5703">
        <w:rPr>
          <w:rFonts w:cs="Times New Roman"/>
          <w:lang w:val="en-US"/>
        </w:rPr>
        <w:t xml:space="preserve">Said </w:t>
      </w:r>
      <w:r w:rsidR="0090067B">
        <w:rPr>
          <w:rFonts w:cs="Times New Roman"/>
          <w:lang w:val="en-US"/>
        </w:rPr>
        <w:t xml:space="preserve">focused on </w:t>
      </w:r>
      <w:r w:rsidR="001B1CD6" w:rsidRPr="00AE5703">
        <w:rPr>
          <w:rFonts w:cs="Times New Roman"/>
          <w:lang w:val="en-US"/>
        </w:rPr>
        <w:t xml:space="preserve">two </w:t>
      </w:r>
      <w:r w:rsidR="0090067B">
        <w:rPr>
          <w:rFonts w:cs="Times New Roman"/>
          <w:lang w:val="en-US"/>
        </w:rPr>
        <w:t xml:space="preserve">command </w:t>
      </w:r>
      <w:r w:rsidR="001B1CD6" w:rsidRPr="00AE5703">
        <w:rPr>
          <w:rFonts w:cs="Times New Roman"/>
          <w:lang w:val="en-US"/>
        </w:rPr>
        <w:t>performances</w:t>
      </w:r>
      <w:r w:rsidR="0090067B">
        <w:rPr>
          <w:rFonts w:cs="Times New Roman"/>
          <w:lang w:val="en-US"/>
        </w:rPr>
        <w:t xml:space="preserve"> that, in different but none the less repetitive forms, displayed and domesticated this place</w:t>
      </w:r>
      <w:r w:rsidR="001B1CD6" w:rsidRPr="00AE5703">
        <w:rPr>
          <w:rFonts w:cs="Times New Roman"/>
          <w:lang w:val="en-US"/>
        </w:rPr>
        <w:t xml:space="preserve">.  First, ‘the Orient’ was summoned as an exotic and bizarre space, and at the limit a pathological and even monstrous space: </w:t>
      </w:r>
      <w:r w:rsidR="0090067B">
        <w:rPr>
          <w:rFonts w:cs="Times New Roman"/>
          <w:lang w:val="en-US"/>
        </w:rPr>
        <w:t xml:space="preserve">what he called </w:t>
      </w:r>
      <w:r w:rsidR="001B1CD6" w:rsidRPr="00AE5703">
        <w:rPr>
          <w:rFonts w:cs="Times New Roman"/>
          <w:lang w:val="en-US"/>
        </w:rPr>
        <w:t>‘a living tableau of queerness.’</w:t>
      </w:r>
      <w:r w:rsidR="001B68CF">
        <w:rPr>
          <w:rFonts w:cs="Times New Roman"/>
          <w:lang w:val="en-US"/>
        </w:rPr>
        <w:t xml:space="preserve"> </w:t>
      </w:r>
      <w:r w:rsidR="001B68CF">
        <w:rPr>
          <w:rStyle w:val="FootnoteReference"/>
          <w:rFonts w:cs="Times New Roman"/>
          <w:lang w:val="en-US"/>
        </w:rPr>
        <w:footnoteReference w:id="4"/>
      </w:r>
      <w:r w:rsidR="001B1CD6" w:rsidRPr="00AE5703">
        <w:rPr>
          <w:rFonts w:cs="Times New Roman"/>
          <w:lang w:val="en-US"/>
        </w:rPr>
        <w:t xml:space="preserve">  </w:t>
      </w:r>
      <w:r w:rsidR="0090067B">
        <w:rPr>
          <w:rFonts w:cs="Times New Roman"/>
          <w:lang w:val="en-US"/>
        </w:rPr>
        <w:t>Different versions of this fascination – and</w:t>
      </w:r>
      <w:r w:rsidR="00D3513E">
        <w:rPr>
          <w:rFonts w:cs="Times New Roman"/>
          <w:lang w:val="en-US"/>
        </w:rPr>
        <w:t xml:space="preserve"> on occasion rev</w:t>
      </w:r>
      <w:r w:rsidR="0090067B">
        <w:rPr>
          <w:rFonts w:cs="Times New Roman"/>
          <w:lang w:val="en-US"/>
        </w:rPr>
        <w:t xml:space="preserve">ulsion – run </w:t>
      </w:r>
      <w:r w:rsidR="001704C4">
        <w:rPr>
          <w:rFonts w:cs="Times New Roman"/>
          <w:lang w:val="en-US"/>
        </w:rPr>
        <w:t xml:space="preserve">right </w:t>
      </w:r>
      <w:r w:rsidR="0090067B">
        <w:rPr>
          <w:rFonts w:cs="Times New Roman"/>
          <w:lang w:val="en-US"/>
        </w:rPr>
        <w:t>through the writings that were Said’s pri</w:t>
      </w:r>
      <w:r w:rsidR="00EF64DD">
        <w:rPr>
          <w:rFonts w:cs="Times New Roman"/>
          <w:lang w:val="en-US"/>
        </w:rPr>
        <w:t>ncipal concern in his critique of Orientalism</w:t>
      </w:r>
      <w:r w:rsidR="001704C4">
        <w:rPr>
          <w:rFonts w:cs="Times New Roman"/>
          <w:lang w:val="en-US"/>
        </w:rPr>
        <w:t xml:space="preserve">, </w:t>
      </w:r>
      <w:r w:rsidR="0090067B">
        <w:rPr>
          <w:rFonts w:cs="Times New Roman"/>
          <w:lang w:val="en-US"/>
        </w:rPr>
        <w:t>a realm of bourgeois or high culture</w:t>
      </w:r>
      <w:r w:rsidR="001704C4">
        <w:rPr>
          <w:rFonts w:cs="Times New Roman"/>
          <w:lang w:val="en-US"/>
        </w:rPr>
        <w:t xml:space="preserve">, </w:t>
      </w:r>
      <w:r w:rsidR="00D3513E">
        <w:rPr>
          <w:rFonts w:cs="Times New Roman"/>
          <w:lang w:val="en-US"/>
        </w:rPr>
        <w:t xml:space="preserve">and </w:t>
      </w:r>
      <w:r w:rsidR="00EF64DD">
        <w:rPr>
          <w:rFonts w:cs="Times New Roman"/>
          <w:lang w:val="en-US"/>
        </w:rPr>
        <w:t xml:space="preserve">they </w:t>
      </w:r>
      <w:r w:rsidR="00E37C50">
        <w:rPr>
          <w:rFonts w:cs="Times New Roman"/>
          <w:lang w:val="en-US"/>
        </w:rPr>
        <w:t>re</w:t>
      </w:r>
      <w:r w:rsidR="00EF64DD">
        <w:rPr>
          <w:rFonts w:cs="Times New Roman"/>
          <w:lang w:val="en-US"/>
        </w:rPr>
        <w:t xml:space="preserve">appear </w:t>
      </w:r>
      <w:r w:rsidR="001704C4">
        <w:rPr>
          <w:rFonts w:cs="Times New Roman"/>
          <w:lang w:val="en-US"/>
        </w:rPr>
        <w:t xml:space="preserve">in </w:t>
      </w:r>
      <w:r w:rsidR="00EF64DD">
        <w:rPr>
          <w:rFonts w:cs="Times New Roman"/>
          <w:lang w:val="en-US"/>
        </w:rPr>
        <w:t>more popular</w:t>
      </w:r>
      <w:r w:rsidR="001704C4">
        <w:rPr>
          <w:rFonts w:cs="Times New Roman"/>
          <w:lang w:val="en-US"/>
        </w:rPr>
        <w:t xml:space="preserve"> forms like nineteenth-century music hall, twent</w:t>
      </w:r>
      <w:r w:rsidR="00EF64DD">
        <w:rPr>
          <w:rFonts w:cs="Times New Roman"/>
          <w:lang w:val="en-US"/>
        </w:rPr>
        <w:t>ieth-century Hollywood films, and</w:t>
      </w:r>
      <w:r w:rsidR="001704C4">
        <w:rPr>
          <w:rFonts w:cs="Times New Roman"/>
          <w:lang w:val="en-US"/>
        </w:rPr>
        <w:t xml:space="preserve"> twenty-first century graphic novels.  </w:t>
      </w:r>
      <w:r w:rsidR="00EF64DD">
        <w:rPr>
          <w:rFonts w:cs="Times New Roman"/>
          <w:lang w:val="en-US"/>
        </w:rPr>
        <w:t xml:space="preserve">But </w:t>
      </w:r>
      <w:r w:rsidR="001704C4">
        <w:rPr>
          <w:rFonts w:cs="Times New Roman"/>
          <w:lang w:val="en-US"/>
        </w:rPr>
        <w:t>Said’s point was much sha</w:t>
      </w:r>
      <w:r w:rsidR="00EF64DD">
        <w:rPr>
          <w:rFonts w:cs="Times New Roman"/>
          <w:lang w:val="en-US"/>
        </w:rPr>
        <w:t xml:space="preserve">rper than a rejection of racism.  For him, Orientalism underwrote and in an important sense prepared the ground for a peculiarly colonizing form of power.  The link between </w:t>
      </w:r>
      <w:r w:rsidR="001B68CF">
        <w:rPr>
          <w:rFonts w:cs="Times New Roman"/>
          <w:lang w:val="en-US"/>
        </w:rPr>
        <w:t xml:space="preserve">literature – Said’s own field </w:t>
      </w:r>
      <w:r w:rsidR="001B68CF">
        <w:rPr>
          <w:rFonts w:cs="Times New Roman"/>
          <w:lang w:val="en-US"/>
        </w:rPr>
        <w:softHyphen/>
        <w:t xml:space="preserve">– </w:t>
      </w:r>
      <w:r w:rsidR="00EF64DD">
        <w:rPr>
          <w:rFonts w:cs="Times New Roman"/>
          <w:lang w:val="en-US"/>
        </w:rPr>
        <w:t xml:space="preserve">and colonizing power </w:t>
      </w:r>
      <w:r w:rsidR="001B68CF">
        <w:rPr>
          <w:rFonts w:cs="Times New Roman"/>
          <w:lang w:val="en-US"/>
        </w:rPr>
        <w:t xml:space="preserve">has been </w:t>
      </w:r>
      <w:r w:rsidR="00EF64DD">
        <w:rPr>
          <w:rFonts w:cs="Times New Roman"/>
          <w:lang w:val="en-US"/>
        </w:rPr>
        <w:t xml:space="preserve">expressed with </w:t>
      </w:r>
      <w:r w:rsidR="001B68CF">
        <w:rPr>
          <w:rFonts w:cs="Times New Roman"/>
          <w:lang w:val="en-US"/>
        </w:rPr>
        <w:t xml:space="preserve">a special </w:t>
      </w:r>
      <w:r w:rsidR="00EF64DD">
        <w:rPr>
          <w:rFonts w:cs="Times New Roman"/>
          <w:lang w:val="en-US"/>
        </w:rPr>
        <w:t>ec</w:t>
      </w:r>
      <w:r w:rsidR="00634615">
        <w:rPr>
          <w:rFonts w:cs="Times New Roman"/>
          <w:lang w:val="en-US"/>
        </w:rPr>
        <w:t xml:space="preserve">onomy by Timothy Mitchell.  Writing of the British and French </w:t>
      </w:r>
      <w:r w:rsidR="001B68CF">
        <w:rPr>
          <w:rFonts w:cs="Times New Roman"/>
          <w:lang w:val="en-US"/>
        </w:rPr>
        <w:t xml:space="preserve">colonial project </w:t>
      </w:r>
      <w:r w:rsidR="00634615">
        <w:rPr>
          <w:rFonts w:cs="Times New Roman"/>
          <w:lang w:val="en-US"/>
        </w:rPr>
        <w:t>in Egypt, he explained that ‘colonial power required the country to become readable</w:t>
      </w:r>
      <w:r w:rsidR="001B68CF">
        <w:rPr>
          <w:rFonts w:cs="Times New Roman"/>
          <w:lang w:val="en-US"/>
        </w:rPr>
        <w:t>,</w:t>
      </w:r>
      <w:r w:rsidR="00634615">
        <w:rPr>
          <w:rFonts w:cs="Times New Roman"/>
          <w:lang w:val="en-US"/>
        </w:rPr>
        <w:t xml:space="preserve"> like a book, in our own sense of such a term.’  This was, as Mitchell shows, an extraordinary way of seeing and setting up the world – what he calls ‘the world-as-exhibition’ – </w:t>
      </w:r>
      <w:r w:rsidR="001B68CF">
        <w:rPr>
          <w:rFonts w:cs="Times New Roman"/>
          <w:lang w:val="en-US"/>
        </w:rPr>
        <w:t xml:space="preserve">that made ‘their’ space </w:t>
      </w:r>
      <w:r w:rsidR="001759EB">
        <w:rPr>
          <w:rFonts w:cs="Times New Roman"/>
          <w:lang w:val="en-US"/>
        </w:rPr>
        <w:t xml:space="preserve">not only </w:t>
      </w:r>
      <w:r w:rsidR="001B68CF">
        <w:rPr>
          <w:rFonts w:cs="Times New Roman"/>
          <w:lang w:val="en-US"/>
        </w:rPr>
        <w:t>legible</w:t>
      </w:r>
      <w:r w:rsidR="001759EB">
        <w:rPr>
          <w:rFonts w:cs="Times New Roman"/>
          <w:lang w:val="en-US"/>
        </w:rPr>
        <w:t xml:space="preserve"> but also calculable.  ‘Egypt was to be ordered up as something object-like</w:t>
      </w:r>
      <w:r w:rsidR="00BF09A9">
        <w:rPr>
          <w:rFonts w:cs="Times New Roman"/>
          <w:lang w:val="en-US"/>
        </w:rPr>
        <w:t>, he explains</w:t>
      </w:r>
      <w:r w:rsidR="001759EB">
        <w:rPr>
          <w:rFonts w:cs="Times New Roman"/>
          <w:lang w:val="en-US"/>
        </w:rPr>
        <w:t xml:space="preserve">.  </w:t>
      </w:r>
      <w:r w:rsidR="00BF09A9">
        <w:rPr>
          <w:rFonts w:cs="Times New Roman"/>
          <w:lang w:val="en-US"/>
        </w:rPr>
        <w:t>‘</w:t>
      </w:r>
      <w:r w:rsidR="001759EB">
        <w:rPr>
          <w:rFonts w:cs="Times New Roman"/>
          <w:lang w:val="en-US"/>
        </w:rPr>
        <w:t xml:space="preserve">In other words it was to be made picture-like and legible, rendered available to political and economic calculation.’ </w:t>
      </w:r>
      <w:r w:rsidR="001B68CF">
        <w:rPr>
          <w:rStyle w:val="FootnoteReference"/>
          <w:rFonts w:cs="Times New Roman"/>
          <w:lang w:val="en-US"/>
        </w:rPr>
        <w:footnoteReference w:id="5"/>
      </w:r>
      <w:r w:rsidR="00EF64DD">
        <w:rPr>
          <w:rFonts w:cs="Times New Roman"/>
          <w:lang w:val="en-US"/>
        </w:rPr>
        <w:t xml:space="preserve"> </w:t>
      </w:r>
      <w:r w:rsidR="00D3513E">
        <w:rPr>
          <w:rFonts w:cs="Times New Roman"/>
          <w:lang w:val="en-US"/>
        </w:rPr>
        <w:t xml:space="preserve"> This </w:t>
      </w:r>
      <w:r w:rsidR="00BF09A9">
        <w:rPr>
          <w:rFonts w:cs="Times New Roman"/>
          <w:lang w:val="en-US"/>
        </w:rPr>
        <w:t>was the second command performance made possible by (and through) Orientalism.  T</w:t>
      </w:r>
      <w:r w:rsidR="001B1CD6" w:rsidRPr="00AE5703">
        <w:rPr>
          <w:rFonts w:cs="Times New Roman"/>
          <w:lang w:val="en-US"/>
        </w:rPr>
        <w:t xml:space="preserve">he Orient’ was constructed as a space that had to be domesticated, disciplined and normalized </w:t>
      </w:r>
      <w:r w:rsidR="00D3513E">
        <w:rPr>
          <w:rFonts w:cs="Times New Roman"/>
          <w:lang w:val="en-US"/>
        </w:rPr>
        <w:t xml:space="preserve">– ‘straightened out’ – </w:t>
      </w:r>
      <w:r w:rsidR="001B1CD6" w:rsidRPr="00AE5703">
        <w:rPr>
          <w:rFonts w:cs="Times New Roman"/>
          <w:lang w:val="en-US"/>
        </w:rPr>
        <w:t xml:space="preserve">through a forceful projection of the order it was presumed to lack: ‘framed by the classroom, the criminal court, the prison, the illustrated manual.’ </w:t>
      </w:r>
      <w:r w:rsidR="001B1CD6" w:rsidRPr="00AE5703">
        <w:rPr>
          <w:rFonts w:cs="Times New Roman"/>
          <w:vertAlign w:val="superscript"/>
          <w:lang w:val="en-US"/>
        </w:rPr>
        <w:footnoteReference w:id="6"/>
      </w:r>
      <w:r w:rsidR="001B1CD6" w:rsidRPr="00AE5703">
        <w:rPr>
          <w:rFonts w:cs="Times New Roman"/>
          <w:lang w:val="en-US"/>
        </w:rPr>
        <w:t xml:space="preserve"> </w:t>
      </w:r>
    </w:p>
    <w:p w14:paraId="3FC715D6" w14:textId="77777777" w:rsidR="001B1CD6" w:rsidRPr="00AE5703" w:rsidRDefault="001B1CD6" w:rsidP="001B1CD6">
      <w:pPr>
        <w:spacing w:line="360" w:lineRule="auto"/>
        <w:ind w:right="-7" w:firstLine="720"/>
        <w:jc w:val="both"/>
        <w:rPr>
          <w:rFonts w:cs="Times New Roman"/>
          <w:lang w:val="en-US"/>
        </w:rPr>
      </w:pPr>
    </w:p>
    <w:p w14:paraId="69D3B378" w14:textId="72C728EA" w:rsidR="001B1CD6" w:rsidRPr="00AE5703" w:rsidRDefault="00D3513E" w:rsidP="001B1CD6">
      <w:pPr>
        <w:spacing w:line="360" w:lineRule="auto"/>
        <w:ind w:right="-7" w:firstLine="720"/>
        <w:jc w:val="both"/>
        <w:rPr>
          <w:rFonts w:cs="Times New Roman"/>
          <w:lang w:val="en-US"/>
        </w:rPr>
      </w:pPr>
      <w:r>
        <w:rPr>
          <w:rFonts w:cs="Times New Roman"/>
          <w:lang w:val="en-US"/>
        </w:rPr>
        <w:t xml:space="preserve">These twin </w:t>
      </w:r>
      <w:r w:rsidR="001B1CD6" w:rsidRPr="00AE5703">
        <w:rPr>
          <w:rFonts w:cs="Times New Roman"/>
          <w:lang w:val="en-US"/>
        </w:rPr>
        <w:t xml:space="preserve">performances </w:t>
      </w:r>
      <w:r>
        <w:rPr>
          <w:rFonts w:cs="Times New Roman"/>
          <w:lang w:val="en-US"/>
        </w:rPr>
        <w:t xml:space="preserve">did considerably </w:t>
      </w:r>
      <w:r w:rsidR="001B1CD6" w:rsidRPr="00AE5703">
        <w:rPr>
          <w:rFonts w:cs="Times New Roman"/>
          <w:lang w:val="en-US"/>
        </w:rPr>
        <w:t xml:space="preserve">more than epistemological violence.  The Orientalist projection of order was more than conceptual or cognitive, for the process of ordering also conveyed the sense of command and conquest. </w:t>
      </w:r>
      <w:r w:rsidR="00011D8C" w:rsidRPr="00AE5703">
        <w:rPr>
          <w:rFonts w:cs="Times New Roman"/>
          <w:lang w:val="en-US"/>
        </w:rPr>
        <w:t xml:space="preserve"> </w:t>
      </w:r>
      <w:r w:rsidR="001B1CD6" w:rsidRPr="00AE5703">
        <w:rPr>
          <w:rFonts w:cs="Times New Roman"/>
          <w:lang w:val="en-US"/>
        </w:rPr>
        <w:t xml:space="preserve">Although Said says remarkably little about it, the French occupation of Cairo and the subsequent rampage through </w:t>
      </w:r>
      <w:r w:rsidR="00011D8C" w:rsidRPr="00AE5703">
        <w:rPr>
          <w:rFonts w:cs="Times New Roman"/>
          <w:lang w:val="en-US"/>
        </w:rPr>
        <w:t xml:space="preserve">Syria </w:t>
      </w:r>
      <w:r w:rsidR="001B1CD6" w:rsidRPr="00AE5703">
        <w:rPr>
          <w:rFonts w:cs="Times New Roman"/>
          <w:lang w:val="en-US"/>
        </w:rPr>
        <w:t xml:space="preserve">were hideously bloody affairs. In fact, </w:t>
      </w:r>
      <w:r>
        <w:rPr>
          <w:rFonts w:cs="Times New Roman"/>
          <w:lang w:val="en-US"/>
        </w:rPr>
        <w:t xml:space="preserve">David </w:t>
      </w:r>
      <w:r w:rsidR="001B1CD6" w:rsidRPr="00AE5703">
        <w:rPr>
          <w:rFonts w:cs="Times New Roman"/>
          <w:lang w:val="en-US"/>
        </w:rPr>
        <w:t>Bell claims that the Napoleonic wars</w:t>
      </w:r>
      <w:r w:rsidR="00BB618C">
        <w:rPr>
          <w:rFonts w:cs="Times New Roman"/>
          <w:lang w:val="en-US"/>
        </w:rPr>
        <w:t xml:space="preserve"> wrought such a </w:t>
      </w:r>
      <w:r w:rsidR="001B1CD6" w:rsidRPr="00AE5703">
        <w:rPr>
          <w:rFonts w:cs="Times New Roman"/>
          <w:lang w:val="en-US"/>
        </w:rPr>
        <w:t>transformation in the</w:t>
      </w:r>
      <w:r w:rsidR="00BB618C">
        <w:rPr>
          <w:rFonts w:cs="Times New Roman"/>
          <w:lang w:val="en-US"/>
        </w:rPr>
        <w:t xml:space="preserve"> scope and intensity of warfare</w:t>
      </w:r>
      <w:r w:rsidR="001B1CD6" w:rsidRPr="00AE5703">
        <w:rPr>
          <w:rFonts w:cs="Times New Roman"/>
          <w:lang w:val="en-US"/>
        </w:rPr>
        <w:t xml:space="preserve"> that they constituted ‘the first total war’ of the modern period. </w:t>
      </w:r>
      <w:r w:rsidR="001B1CD6" w:rsidRPr="00AE5703">
        <w:rPr>
          <w:rFonts w:cs="Times New Roman"/>
          <w:vertAlign w:val="superscript"/>
          <w:lang w:val="en-US"/>
        </w:rPr>
        <w:footnoteReference w:id="7"/>
      </w:r>
      <w:r w:rsidR="001B1CD6" w:rsidRPr="00AE5703">
        <w:rPr>
          <w:rFonts w:cs="Times New Roman"/>
          <w:lang w:val="en-US"/>
        </w:rPr>
        <w:t xml:space="preserve">  This probably needs qualification, but the proximity of modern Orientalism to modern warfare is reinforced in other ways too.  Said notes more or less in passing that what most impressed the first Arab chronicler of the occupation, Abd al-Rahman al-Jabarti, ‘was Napoleon’s use of scholars to manage his contacts with the natives.’ </w:t>
      </w:r>
      <w:r w:rsidR="001B1CD6" w:rsidRPr="00AE5703">
        <w:rPr>
          <w:rFonts w:cs="Times New Roman"/>
          <w:vertAlign w:val="superscript"/>
          <w:lang w:val="en-US"/>
        </w:rPr>
        <w:footnoteReference w:id="8"/>
      </w:r>
      <w:r w:rsidR="001B1CD6" w:rsidRPr="00AE5703">
        <w:rPr>
          <w:rFonts w:cs="Times New Roman"/>
          <w:lang w:val="en-US"/>
        </w:rPr>
        <w:t xml:space="preserve">  This was expediency more than cultural sensibility; the </w:t>
      </w:r>
      <w:r w:rsidR="001B1CD6" w:rsidRPr="00AE5703">
        <w:rPr>
          <w:rFonts w:cs="Times New Roman"/>
          <w:i/>
          <w:lang w:val="en-US"/>
        </w:rPr>
        <w:t>savants</w:t>
      </w:r>
      <w:r w:rsidR="001B1CD6" w:rsidRPr="00AE5703">
        <w:rPr>
          <w:rFonts w:cs="Times New Roman"/>
          <w:lang w:val="en-US"/>
        </w:rPr>
        <w:t xml:space="preserve"> grumbled that they were required to provide all sorts of practical information for the army on a more or less daily basis and to produce what was, in effect, military intelligence.  Neither they nor the troops were prepared for their first contact with Cairo – it resembled ‘a great intestine filled with houses stacked on top of one another,’ complained one officer, </w:t>
      </w:r>
      <w:r w:rsidR="001B1CD6" w:rsidRPr="00AE5703">
        <w:rPr>
          <w:rFonts w:cs="Times New Roman"/>
          <w:i/>
          <w:lang w:val="en-US"/>
        </w:rPr>
        <w:t>‘without order, without regularity, without method’</w:t>
      </w:r>
      <w:r w:rsidR="001B1CD6" w:rsidRPr="00AE5703">
        <w:rPr>
          <w:rFonts w:cs="Times New Roman"/>
          <w:lang w:val="en-US"/>
        </w:rPr>
        <w:t xml:space="preserve"> (my emphasis) – and so it was necessary to transform its multiple opacities into a singular transparency. </w:t>
      </w:r>
      <w:r w:rsidR="00BB618C">
        <w:rPr>
          <w:rFonts w:cs="Times New Roman"/>
          <w:lang w:val="en-US"/>
        </w:rPr>
        <w:t xml:space="preserve">This is the </w:t>
      </w:r>
      <w:r w:rsidR="001B1CD6" w:rsidRPr="00AE5703">
        <w:rPr>
          <w:rFonts w:cs="Times New Roman"/>
          <w:lang w:val="en-US"/>
        </w:rPr>
        <w:t xml:space="preserve">characteristically Orientalist gesture – ordering what was assumed (incorrectly, as it happens) to be disordered – and </w:t>
      </w:r>
      <w:r w:rsidR="00BB618C">
        <w:rPr>
          <w:rFonts w:cs="Times New Roman"/>
          <w:lang w:val="en-US"/>
        </w:rPr>
        <w:t xml:space="preserve">Napoleon was determined that Cairo should </w:t>
      </w:r>
      <w:r w:rsidR="001B1CD6" w:rsidRPr="00AE5703">
        <w:rPr>
          <w:rFonts w:cs="Times New Roman"/>
          <w:lang w:val="en-US"/>
        </w:rPr>
        <w:t xml:space="preserve">be opened to the French military gaze: transformed into a spatialised object of knowledge that would make possible the surveillance, regulation and exaction of the city and its population. </w:t>
      </w:r>
      <w:r w:rsidR="00EB11D6">
        <w:rPr>
          <w:rFonts w:cs="Times New Roman"/>
          <w:lang w:val="en-US"/>
        </w:rPr>
        <w:t xml:space="preserve"> </w:t>
      </w:r>
      <w:r w:rsidR="00BB618C">
        <w:rPr>
          <w:rFonts w:cs="Times New Roman"/>
          <w:lang w:val="en-US"/>
        </w:rPr>
        <w:t>Here too there are resonances in our own, I think still colonial present, t</w:t>
      </w:r>
      <w:r w:rsidR="003D3C7F">
        <w:rPr>
          <w:rFonts w:cs="Times New Roman"/>
          <w:lang w:val="en-US"/>
        </w:rPr>
        <w:t>hat also disclose th</w:t>
      </w:r>
      <w:r w:rsidR="00EB11D6">
        <w:rPr>
          <w:rFonts w:cs="Times New Roman"/>
          <w:lang w:val="en-US"/>
        </w:rPr>
        <w:t xml:space="preserve">e </w:t>
      </w:r>
      <w:r w:rsidR="00BB618C">
        <w:rPr>
          <w:rFonts w:cs="Times New Roman"/>
          <w:lang w:val="en-US"/>
        </w:rPr>
        <w:t>‘persistent pathologies of Enlightenment republics’.</w:t>
      </w:r>
      <w:r w:rsidR="00EB11D6">
        <w:rPr>
          <w:rFonts w:cs="Times New Roman"/>
          <w:lang w:val="en-US"/>
        </w:rPr>
        <w:t xml:space="preserve">   While Bush’s Baghdad was hardly the Corsican’s Cairo, the US Army had as much trouble reading its flickering signs </w:t>
      </w:r>
      <w:r w:rsidR="003D3C7F">
        <w:rPr>
          <w:rFonts w:cs="Times New Roman"/>
          <w:lang w:val="en-US"/>
        </w:rPr>
        <w:t xml:space="preserve">in 2003 </w:t>
      </w:r>
      <w:r w:rsidR="00EB11D6">
        <w:rPr>
          <w:rFonts w:cs="Times New Roman"/>
          <w:lang w:val="en-US"/>
        </w:rPr>
        <w:t>as the French military had had in Cairo</w:t>
      </w:r>
      <w:r w:rsidR="003D3C7F">
        <w:rPr>
          <w:rFonts w:cs="Times New Roman"/>
          <w:lang w:val="en-US"/>
        </w:rPr>
        <w:t xml:space="preserve"> in 1798</w:t>
      </w:r>
      <w:r w:rsidR="00EB11D6">
        <w:rPr>
          <w:rFonts w:cs="Times New Roman"/>
          <w:lang w:val="en-US"/>
        </w:rPr>
        <w:t xml:space="preserve">, and it was just as determined to open the occupied city to its invasive (and, as it happens, often cartographic) gaze. </w:t>
      </w:r>
      <w:r w:rsidR="00EB11D6">
        <w:rPr>
          <w:rStyle w:val="FootnoteReference"/>
          <w:rFonts w:cs="Times New Roman"/>
          <w:lang w:val="en-US"/>
        </w:rPr>
        <w:footnoteReference w:id="9"/>
      </w:r>
    </w:p>
    <w:p w14:paraId="08C0E1DC" w14:textId="21E503E9" w:rsidR="00791B19" w:rsidRDefault="00791B19" w:rsidP="00E37C50">
      <w:pPr>
        <w:spacing w:line="360" w:lineRule="auto"/>
        <w:ind w:right="-7"/>
        <w:jc w:val="both"/>
        <w:rPr>
          <w:rFonts w:cs="Times New Roman"/>
        </w:rPr>
      </w:pPr>
    </w:p>
    <w:p w14:paraId="41C10851" w14:textId="2568D48F" w:rsidR="00E37C50" w:rsidRDefault="00E37C50" w:rsidP="00E37C50">
      <w:pPr>
        <w:spacing w:line="360" w:lineRule="auto"/>
        <w:ind w:right="-7"/>
        <w:jc w:val="center"/>
        <w:rPr>
          <w:rFonts w:cs="Times New Roman"/>
        </w:rPr>
      </w:pPr>
      <w:r>
        <w:rPr>
          <w:rFonts w:cs="Times New Roman"/>
        </w:rPr>
        <w:t>* * *</w:t>
      </w:r>
    </w:p>
    <w:p w14:paraId="78D985A5" w14:textId="77777777" w:rsidR="00E37C50" w:rsidRDefault="003D3C7F" w:rsidP="00010239">
      <w:pPr>
        <w:spacing w:line="360" w:lineRule="auto"/>
        <w:ind w:right="-7" w:firstLine="720"/>
        <w:jc w:val="both"/>
        <w:rPr>
          <w:rFonts w:cs="Times New Roman"/>
        </w:rPr>
      </w:pPr>
      <w:r>
        <w:rPr>
          <w:rFonts w:cs="Times New Roman"/>
        </w:rPr>
        <w:t xml:space="preserve">If the cultural repertoire of modern Orientalism has been activated in support of political-military violence from the late eighteenth through to the twenty-first century, </w:t>
      </w:r>
      <w:r w:rsidR="000B005C">
        <w:rPr>
          <w:rFonts w:cs="Times New Roman"/>
        </w:rPr>
        <w:t>another term that works</w:t>
      </w:r>
      <w:r w:rsidR="00010239">
        <w:rPr>
          <w:rFonts w:cs="Times New Roman"/>
        </w:rPr>
        <w:t xml:space="preserve"> with the Orient</w:t>
      </w:r>
      <w:r w:rsidR="000B005C">
        <w:rPr>
          <w:rFonts w:cs="Times New Roman"/>
        </w:rPr>
        <w:t xml:space="preserve"> to triangulate the Middle East –</w:t>
      </w:r>
      <w:r w:rsidR="00010239">
        <w:rPr>
          <w:rFonts w:cs="Times New Roman"/>
        </w:rPr>
        <w:t xml:space="preserve"> </w:t>
      </w:r>
      <w:r w:rsidR="00274C96">
        <w:rPr>
          <w:rFonts w:cs="Times New Roman"/>
        </w:rPr>
        <w:t>‘</w:t>
      </w:r>
      <w:r w:rsidR="000B005C">
        <w:rPr>
          <w:rFonts w:cs="Times New Roman"/>
        </w:rPr>
        <w:t>the Levant</w:t>
      </w:r>
      <w:r w:rsidR="00274C96">
        <w:rPr>
          <w:rFonts w:cs="Times New Roman"/>
        </w:rPr>
        <w:t>’</w:t>
      </w:r>
      <w:r w:rsidR="000B005C">
        <w:rPr>
          <w:rFonts w:cs="Times New Roman"/>
        </w:rPr>
        <w:t xml:space="preserve"> – adds a commercial-economic register that has also remained </w:t>
      </w:r>
      <w:r w:rsidR="00010239">
        <w:rPr>
          <w:rFonts w:cs="Times New Roman"/>
        </w:rPr>
        <w:t xml:space="preserve">conspicuously </w:t>
      </w:r>
      <w:r w:rsidR="000B005C">
        <w:rPr>
          <w:rFonts w:cs="Times New Roman"/>
        </w:rPr>
        <w:t xml:space="preserve">open throughout the period.  </w:t>
      </w:r>
      <w:r w:rsidR="00010239">
        <w:rPr>
          <w:rFonts w:cs="Times New Roman"/>
        </w:rPr>
        <w:t xml:space="preserve"> The term has a long history, though shorter than that of </w:t>
      </w:r>
      <w:r w:rsidR="0028652A">
        <w:rPr>
          <w:rFonts w:cs="Times New Roman"/>
        </w:rPr>
        <w:t xml:space="preserve">the </w:t>
      </w:r>
      <w:r w:rsidR="00010239">
        <w:rPr>
          <w:rFonts w:cs="Times New Roman"/>
        </w:rPr>
        <w:t xml:space="preserve">Orient.  </w:t>
      </w:r>
      <w:r w:rsidR="008B31B5" w:rsidRPr="00AE5703">
        <w:rPr>
          <w:rFonts w:cs="Times New Roman"/>
        </w:rPr>
        <w:t>By the thirteenth century merchants from Venice and Genoa trading with their counterparts in Constantinople,</w:t>
      </w:r>
      <w:r w:rsidR="007E50BB" w:rsidRPr="00AE5703">
        <w:rPr>
          <w:rFonts w:cs="Times New Roman"/>
        </w:rPr>
        <w:t xml:space="preserve"> Smyrna, Alexandria and Aleppo </w:t>
      </w:r>
      <w:r w:rsidR="008B31B5" w:rsidRPr="00AE5703">
        <w:rPr>
          <w:rFonts w:cs="Times New Roman"/>
        </w:rPr>
        <w:t xml:space="preserve">were describing the </w:t>
      </w:r>
      <w:r w:rsidR="00010239">
        <w:rPr>
          <w:rFonts w:cs="Times New Roman"/>
        </w:rPr>
        <w:t xml:space="preserve">littoral </w:t>
      </w:r>
      <w:r w:rsidR="008B31B5" w:rsidRPr="00AE5703">
        <w:rPr>
          <w:rFonts w:cs="Times New Roman"/>
        </w:rPr>
        <w:t xml:space="preserve">arc of the eastern Mediterranean as the Levant – like the Orient, </w:t>
      </w:r>
      <w:r w:rsidR="00274C96">
        <w:rPr>
          <w:rFonts w:cs="Times New Roman"/>
        </w:rPr>
        <w:t xml:space="preserve">from the Latin </w:t>
      </w:r>
      <w:r w:rsidR="00274C96" w:rsidRPr="00274C96">
        <w:rPr>
          <w:rFonts w:cs="Times New Roman"/>
          <w:i/>
        </w:rPr>
        <w:t>oriens</w:t>
      </w:r>
      <w:r w:rsidR="00D3513E">
        <w:rPr>
          <w:rFonts w:cs="Times New Roman"/>
        </w:rPr>
        <w:t xml:space="preserve"> (rising), the Levant, from the French </w:t>
      </w:r>
      <w:r w:rsidR="00D3513E" w:rsidRPr="00D3513E">
        <w:rPr>
          <w:rFonts w:cs="Times New Roman"/>
          <w:i/>
        </w:rPr>
        <w:t>lever</w:t>
      </w:r>
      <w:r w:rsidR="00D3513E">
        <w:rPr>
          <w:rFonts w:cs="Times New Roman"/>
        </w:rPr>
        <w:t xml:space="preserve">, </w:t>
      </w:r>
      <w:r w:rsidR="00274C96">
        <w:rPr>
          <w:rFonts w:cs="Times New Roman"/>
        </w:rPr>
        <w:t xml:space="preserve">was </w:t>
      </w:r>
      <w:r w:rsidR="008B31B5" w:rsidRPr="00AE5703">
        <w:rPr>
          <w:rFonts w:cs="Times New Roman"/>
        </w:rPr>
        <w:t>the land where the sun rises – but to them its r</w:t>
      </w:r>
      <w:r w:rsidR="00274C96">
        <w:rPr>
          <w:rFonts w:cs="Times New Roman"/>
        </w:rPr>
        <w:t xml:space="preserve">adiance was largely commercial and </w:t>
      </w:r>
      <w:r w:rsidR="00D3513E">
        <w:rPr>
          <w:rFonts w:cs="Times New Roman"/>
        </w:rPr>
        <w:t xml:space="preserve">it </w:t>
      </w:r>
      <w:r w:rsidR="00274C96">
        <w:rPr>
          <w:rFonts w:cs="Times New Roman"/>
        </w:rPr>
        <w:t xml:space="preserve">illuminated a sparkling necklace of port cities. </w:t>
      </w:r>
      <w:r w:rsidR="00274C96">
        <w:rPr>
          <w:rStyle w:val="FootnoteReference"/>
          <w:rFonts w:cs="Times New Roman"/>
        </w:rPr>
        <w:footnoteReference w:id="10"/>
      </w:r>
      <w:r w:rsidR="008B31B5" w:rsidRPr="00AE5703">
        <w:rPr>
          <w:rFonts w:cs="Times New Roman"/>
        </w:rPr>
        <w:t xml:space="preserve"> </w:t>
      </w:r>
      <w:r w:rsidR="00156EFE">
        <w:rPr>
          <w:rFonts w:cs="Times New Roman"/>
        </w:rPr>
        <w:t xml:space="preserve"> </w:t>
      </w:r>
      <w:r w:rsidR="008B31B5" w:rsidRPr="00AE5703">
        <w:rPr>
          <w:rFonts w:cs="Times New Roman"/>
        </w:rPr>
        <w:t xml:space="preserve">By the sixteenth century those mercantile bonds </w:t>
      </w:r>
      <w:r w:rsidR="00156EFE">
        <w:rPr>
          <w:rFonts w:cs="Times New Roman"/>
        </w:rPr>
        <w:t xml:space="preserve">had been </w:t>
      </w:r>
      <w:r w:rsidR="008B31B5" w:rsidRPr="00AE5703">
        <w:rPr>
          <w:rFonts w:cs="Times New Roman"/>
        </w:rPr>
        <w:t>soldered by a political and military alliance between France and the Ottoman Empire, ‘the union of the lily and the cresc</w:t>
      </w:r>
      <w:r w:rsidR="00156EFE">
        <w:rPr>
          <w:rFonts w:cs="Times New Roman"/>
        </w:rPr>
        <w:t>ent’ as Philip Mansel puts it, which was forged out of their</w:t>
      </w:r>
      <w:r w:rsidR="008B31B5" w:rsidRPr="00AE5703">
        <w:rPr>
          <w:rFonts w:cs="Times New Roman"/>
        </w:rPr>
        <w:t xml:space="preserve"> mutual distrust of the ambitions of Charles V’s </w:t>
      </w:r>
      <w:r w:rsidR="00156EFE">
        <w:rPr>
          <w:rFonts w:cs="Times New Roman"/>
        </w:rPr>
        <w:t xml:space="preserve">Holy Roman Empire.  This was </w:t>
      </w:r>
      <w:r w:rsidR="008B31B5" w:rsidRPr="00AE5703">
        <w:rPr>
          <w:rFonts w:cs="Times New Roman"/>
        </w:rPr>
        <w:t>destined to endure in</w:t>
      </w:r>
      <w:r w:rsidR="00156EFE">
        <w:rPr>
          <w:rFonts w:cs="Times New Roman"/>
        </w:rPr>
        <w:t xml:space="preserve">to the early twentieth century, and throughout the period </w:t>
      </w:r>
      <w:r w:rsidR="0028652A">
        <w:rPr>
          <w:rFonts w:cs="Times New Roman"/>
        </w:rPr>
        <w:t xml:space="preserve">the alliance </w:t>
      </w:r>
      <w:r w:rsidR="008B31B5" w:rsidRPr="00AE5703">
        <w:rPr>
          <w:rFonts w:cs="Times New Roman"/>
        </w:rPr>
        <w:t>retained the tensile comme</w:t>
      </w:r>
      <w:r w:rsidR="007E50BB" w:rsidRPr="00AE5703">
        <w:rPr>
          <w:rFonts w:cs="Times New Roman"/>
        </w:rPr>
        <w:t>rcial strength of the original</w:t>
      </w:r>
      <w:r w:rsidR="00156EFE">
        <w:rPr>
          <w:rFonts w:cs="Times New Roman"/>
        </w:rPr>
        <w:t>, notably</w:t>
      </w:r>
      <w:r w:rsidR="007E50BB" w:rsidRPr="00AE5703">
        <w:rPr>
          <w:rFonts w:cs="Times New Roman"/>
        </w:rPr>
        <w:t xml:space="preserve"> through </w:t>
      </w:r>
      <w:r w:rsidR="008B31B5" w:rsidRPr="00AE5703">
        <w:rPr>
          <w:rFonts w:cs="Times New Roman"/>
        </w:rPr>
        <w:t>a series of concessions (</w:t>
      </w:r>
      <w:r w:rsidR="00E37C50">
        <w:rPr>
          <w:rFonts w:cs="Times New Roman"/>
        </w:rPr>
        <w:t xml:space="preserve">or </w:t>
      </w:r>
      <w:r w:rsidR="008B31B5" w:rsidRPr="00AE5703">
        <w:rPr>
          <w:rFonts w:cs="Times New Roman"/>
        </w:rPr>
        <w:t xml:space="preserve">‘capitulations’) made by Constantinople to French merchants from 1569. </w:t>
      </w:r>
      <w:r w:rsidR="008B31B5" w:rsidRPr="00AE5703">
        <w:rPr>
          <w:rStyle w:val="FootnoteReference"/>
          <w:rFonts w:cs="Times New Roman"/>
        </w:rPr>
        <w:footnoteReference w:id="11"/>
      </w:r>
      <w:r w:rsidR="007E50BB" w:rsidRPr="00AE5703">
        <w:rPr>
          <w:rFonts w:cs="Times New Roman"/>
        </w:rPr>
        <w:t xml:space="preserve">  </w:t>
      </w:r>
    </w:p>
    <w:p w14:paraId="439A3C01" w14:textId="77777777" w:rsidR="00E37C50" w:rsidRDefault="00E37C50" w:rsidP="00010239">
      <w:pPr>
        <w:spacing w:line="360" w:lineRule="auto"/>
        <w:ind w:right="-7" w:firstLine="720"/>
        <w:jc w:val="both"/>
        <w:rPr>
          <w:rFonts w:cs="Times New Roman"/>
        </w:rPr>
      </w:pPr>
    </w:p>
    <w:p w14:paraId="37D573FC" w14:textId="4BE8F8B6" w:rsidR="00D355EA" w:rsidRPr="00AE5703" w:rsidRDefault="007E50BB" w:rsidP="00010239">
      <w:pPr>
        <w:spacing w:line="360" w:lineRule="auto"/>
        <w:ind w:right="-7" w:firstLine="720"/>
        <w:jc w:val="both"/>
        <w:rPr>
          <w:rFonts w:cs="Times New Roman"/>
        </w:rPr>
      </w:pPr>
      <w:r w:rsidRPr="00AE5703">
        <w:rPr>
          <w:rFonts w:cs="Times New Roman"/>
        </w:rPr>
        <w:t xml:space="preserve">But the terms of the relationship, which Mansel </w:t>
      </w:r>
      <w:r w:rsidR="0028652A">
        <w:rPr>
          <w:rFonts w:cs="Times New Roman"/>
        </w:rPr>
        <w:t xml:space="preserve">portrays </w:t>
      </w:r>
      <w:r w:rsidRPr="00AE5703">
        <w:rPr>
          <w:rFonts w:cs="Times New Roman"/>
        </w:rPr>
        <w:t xml:space="preserve">as one of the most successful alliances in history, were increasingly political, and from the eighteenth century </w:t>
      </w:r>
      <w:r w:rsidR="00791B19" w:rsidRPr="00AE5703">
        <w:rPr>
          <w:rFonts w:cs="Times New Roman"/>
        </w:rPr>
        <w:t>French politicians and diplomats</w:t>
      </w:r>
      <w:r w:rsidR="0028652A">
        <w:rPr>
          <w:rFonts w:cs="Times New Roman"/>
        </w:rPr>
        <w:t xml:space="preserve"> </w:t>
      </w:r>
      <w:r w:rsidRPr="00AE5703">
        <w:rPr>
          <w:rFonts w:cs="Times New Roman"/>
        </w:rPr>
        <w:t xml:space="preserve">described </w:t>
      </w:r>
      <w:r w:rsidR="00791B19" w:rsidRPr="00AE5703">
        <w:rPr>
          <w:rFonts w:cs="Times New Roman"/>
        </w:rPr>
        <w:t xml:space="preserve">the Ottoman Empire as </w:t>
      </w:r>
      <w:r w:rsidR="00791B19" w:rsidRPr="00AE5703">
        <w:rPr>
          <w:rFonts w:cs="Times New Roman"/>
          <w:i/>
        </w:rPr>
        <w:t xml:space="preserve">la Proche-Orient </w:t>
      </w:r>
      <w:r w:rsidR="0028652A">
        <w:rPr>
          <w:rFonts w:cs="Times New Roman"/>
        </w:rPr>
        <w:t>(‘the Near East’): a term that encapsulated both a physical and a political proximity.</w:t>
      </w:r>
      <w:r w:rsidRPr="00AE5703">
        <w:rPr>
          <w:rFonts w:cs="Times New Roman"/>
        </w:rPr>
        <w:t xml:space="preserve">  </w:t>
      </w:r>
      <w:r w:rsidR="0028652A">
        <w:rPr>
          <w:rFonts w:cs="Times New Roman"/>
        </w:rPr>
        <w:t xml:space="preserve">This was not a peculiarly French affair.  </w:t>
      </w:r>
      <w:r w:rsidRPr="00AE5703">
        <w:rPr>
          <w:rFonts w:cs="Times New Roman"/>
        </w:rPr>
        <w:t xml:space="preserve">For </w:t>
      </w:r>
      <w:r w:rsidR="00791B19" w:rsidRPr="00AE5703">
        <w:rPr>
          <w:rFonts w:cs="Times New Roman"/>
        </w:rPr>
        <w:t>most</w:t>
      </w:r>
      <w:r w:rsidR="0028652A">
        <w:rPr>
          <w:rFonts w:cs="Times New Roman"/>
        </w:rPr>
        <w:t xml:space="preserve"> of the nineteenth century the Eastern Question</w:t>
      </w:r>
      <w:r w:rsidR="00791B19" w:rsidRPr="00AE5703">
        <w:rPr>
          <w:rFonts w:cs="Times New Roman"/>
        </w:rPr>
        <w:t xml:space="preserve"> that </w:t>
      </w:r>
      <w:r w:rsidR="00D3513E">
        <w:rPr>
          <w:rFonts w:cs="Times New Roman"/>
        </w:rPr>
        <w:t xml:space="preserve">preoccupied </w:t>
      </w:r>
      <w:r w:rsidR="006B3FBD">
        <w:rPr>
          <w:rFonts w:cs="Times New Roman"/>
        </w:rPr>
        <w:t>high politics across</w:t>
      </w:r>
      <w:r w:rsidR="00AF3515" w:rsidRPr="00AE5703">
        <w:rPr>
          <w:rFonts w:cs="Times New Roman"/>
        </w:rPr>
        <w:t xml:space="preserve"> Europe</w:t>
      </w:r>
      <w:r w:rsidR="00CC0E58" w:rsidRPr="00AE5703">
        <w:rPr>
          <w:rFonts w:cs="Times New Roman"/>
        </w:rPr>
        <w:t xml:space="preserve"> wa</w:t>
      </w:r>
      <w:r w:rsidR="0028652A">
        <w:rPr>
          <w:rFonts w:cs="Times New Roman"/>
        </w:rPr>
        <w:t>s invariably an Ottoman one, and</w:t>
      </w:r>
      <w:r w:rsidR="00CC0E58" w:rsidRPr="00AE5703">
        <w:rPr>
          <w:rFonts w:cs="Times New Roman"/>
        </w:rPr>
        <w:t xml:space="preserve"> by the end of the century</w:t>
      </w:r>
      <w:r w:rsidR="0028652A">
        <w:rPr>
          <w:rFonts w:cs="Times New Roman"/>
        </w:rPr>
        <w:t xml:space="preserve"> it was inflected by an increasing rapprochement </w:t>
      </w:r>
      <w:r w:rsidR="00CC0E58" w:rsidRPr="00AE5703">
        <w:rPr>
          <w:rFonts w:cs="Times New Roman"/>
        </w:rPr>
        <w:t>between Berlin and Constantinople.</w:t>
      </w:r>
      <w:r w:rsidR="00791B19" w:rsidRPr="00AE5703">
        <w:rPr>
          <w:rFonts w:cs="Times New Roman"/>
        </w:rPr>
        <w:t xml:space="preserve"> </w:t>
      </w:r>
      <w:r w:rsidR="00D355EA" w:rsidRPr="00AE5703">
        <w:rPr>
          <w:rFonts w:cs="Times New Roman"/>
        </w:rPr>
        <w:t xml:space="preserve"> </w:t>
      </w:r>
    </w:p>
    <w:p w14:paraId="36096124" w14:textId="77777777" w:rsidR="00D355EA" w:rsidRDefault="00D355EA" w:rsidP="00E37C50">
      <w:pPr>
        <w:spacing w:line="360" w:lineRule="auto"/>
        <w:ind w:right="-7"/>
        <w:jc w:val="both"/>
        <w:rPr>
          <w:rFonts w:cs="Times New Roman"/>
        </w:rPr>
      </w:pPr>
    </w:p>
    <w:p w14:paraId="0EFCBCB2" w14:textId="10DFB356" w:rsidR="00E37C50" w:rsidRPr="00AE5703" w:rsidRDefault="00E37C50" w:rsidP="00E37C50">
      <w:pPr>
        <w:spacing w:line="360" w:lineRule="auto"/>
        <w:ind w:right="-7"/>
        <w:jc w:val="center"/>
        <w:rPr>
          <w:rFonts w:cs="Times New Roman"/>
        </w:rPr>
      </w:pPr>
      <w:r>
        <w:rPr>
          <w:rFonts w:cs="Times New Roman"/>
        </w:rPr>
        <w:t>* * *</w:t>
      </w:r>
    </w:p>
    <w:p w14:paraId="4364AB4A" w14:textId="44EA187F" w:rsidR="00D97A06" w:rsidRDefault="0044707D" w:rsidP="00AF3515">
      <w:pPr>
        <w:spacing w:line="360" w:lineRule="auto"/>
        <w:ind w:right="-7" w:firstLine="720"/>
        <w:jc w:val="both"/>
        <w:rPr>
          <w:rFonts w:cs="Times New Roman"/>
        </w:rPr>
      </w:pPr>
      <w:r>
        <w:rPr>
          <w:rFonts w:cs="Times New Roman"/>
        </w:rPr>
        <w:t xml:space="preserve">Throughout the nineteenth century </w:t>
      </w:r>
      <w:r w:rsidR="0028652A">
        <w:rPr>
          <w:rFonts w:cs="Times New Roman"/>
        </w:rPr>
        <w:t xml:space="preserve">British politicians </w:t>
      </w:r>
      <w:r>
        <w:rPr>
          <w:rFonts w:cs="Times New Roman"/>
        </w:rPr>
        <w:t xml:space="preserve">and diplomats </w:t>
      </w:r>
      <w:r w:rsidR="0028652A">
        <w:rPr>
          <w:rFonts w:cs="Times New Roman"/>
        </w:rPr>
        <w:t>kept a close watch on these</w:t>
      </w:r>
      <w:r>
        <w:rPr>
          <w:rFonts w:cs="Times New Roman"/>
        </w:rPr>
        <w:t xml:space="preserve"> developments</w:t>
      </w:r>
      <w:r w:rsidR="0028652A">
        <w:rPr>
          <w:rFonts w:cs="Times New Roman"/>
        </w:rPr>
        <w:t xml:space="preserve">, but their telescopes were </w:t>
      </w:r>
      <w:r>
        <w:rPr>
          <w:rFonts w:cs="Times New Roman"/>
        </w:rPr>
        <w:t xml:space="preserve">also </w:t>
      </w:r>
      <w:r w:rsidR="0028652A">
        <w:rPr>
          <w:rFonts w:cs="Times New Roman"/>
        </w:rPr>
        <w:t>trained – like Napoleon’s at the end of the eightee</w:t>
      </w:r>
      <w:r>
        <w:rPr>
          <w:rFonts w:cs="Times New Roman"/>
        </w:rPr>
        <w:t xml:space="preserve">nth century – on India, and when the ‘Middle East’ emerged </w:t>
      </w:r>
      <w:r w:rsidR="00161512">
        <w:rPr>
          <w:rFonts w:cs="Times New Roman"/>
        </w:rPr>
        <w:t xml:space="preserve">as an English-language term of art </w:t>
      </w:r>
      <w:r>
        <w:rPr>
          <w:rFonts w:cs="Times New Roman"/>
        </w:rPr>
        <w:t xml:space="preserve">in the nineteenth century it was in direct relation to British India. </w:t>
      </w:r>
      <w:r>
        <w:rPr>
          <w:rStyle w:val="FootnoteReference"/>
          <w:rFonts w:cs="Times New Roman"/>
        </w:rPr>
        <w:footnoteReference w:id="12"/>
      </w:r>
      <w:r>
        <w:rPr>
          <w:rFonts w:cs="Times New Roman"/>
        </w:rPr>
        <w:t xml:space="preserve">  Civil </w:t>
      </w:r>
      <w:r w:rsidR="00791B19" w:rsidRPr="00AE5703">
        <w:rPr>
          <w:rFonts w:cs="Times New Roman"/>
        </w:rPr>
        <w:t xml:space="preserve">servants in </w:t>
      </w:r>
      <w:r>
        <w:rPr>
          <w:rFonts w:cs="Times New Roman"/>
        </w:rPr>
        <w:t xml:space="preserve">the </w:t>
      </w:r>
      <w:r w:rsidR="00791B19" w:rsidRPr="00AE5703">
        <w:rPr>
          <w:rFonts w:cs="Times New Roman"/>
        </w:rPr>
        <w:t xml:space="preserve">India </w:t>
      </w:r>
      <w:r w:rsidR="00011D8C" w:rsidRPr="00AE5703">
        <w:rPr>
          <w:rFonts w:cs="Times New Roman"/>
        </w:rPr>
        <w:t>Office</w:t>
      </w:r>
      <w:r w:rsidR="00E01DA0">
        <w:rPr>
          <w:rFonts w:cs="Times New Roman"/>
        </w:rPr>
        <w:t xml:space="preserve">, </w:t>
      </w:r>
      <w:r w:rsidR="00D3513E">
        <w:rPr>
          <w:rFonts w:cs="Times New Roman"/>
        </w:rPr>
        <w:t xml:space="preserve">which had been </w:t>
      </w:r>
      <w:r w:rsidR="00E01DA0">
        <w:rPr>
          <w:rFonts w:cs="Times New Roman"/>
        </w:rPr>
        <w:t>created in 1858,</w:t>
      </w:r>
      <w:r w:rsidR="00011D8C" w:rsidRPr="00AE5703">
        <w:rPr>
          <w:rFonts w:cs="Times New Roman"/>
        </w:rPr>
        <w:t xml:space="preserve"> </w:t>
      </w:r>
      <w:r w:rsidR="00D3513E">
        <w:rPr>
          <w:rFonts w:cs="Times New Roman"/>
        </w:rPr>
        <w:t xml:space="preserve">began </w:t>
      </w:r>
      <w:r w:rsidR="00011D8C" w:rsidRPr="00AE5703">
        <w:rPr>
          <w:rFonts w:cs="Times New Roman"/>
        </w:rPr>
        <w:t xml:space="preserve">to describe </w:t>
      </w:r>
      <w:r w:rsidR="00791B19" w:rsidRPr="00AE5703">
        <w:rPr>
          <w:rFonts w:cs="Times New Roman"/>
        </w:rPr>
        <w:t>Persia and its surrounding regions as ‘the Middle East’,</w:t>
      </w:r>
      <w:r>
        <w:rPr>
          <w:rFonts w:cs="Times New Roman"/>
        </w:rPr>
        <w:t xml:space="preserve"> a buffer zone lying not between a ‘Near East’ and a ‘Far East’ but between London and Delhi. </w:t>
      </w:r>
      <w:r w:rsidR="006B3FBD">
        <w:rPr>
          <w:rFonts w:cs="Times New Roman"/>
        </w:rPr>
        <w:t xml:space="preserve">The </w:t>
      </w:r>
      <w:r w:rsidR="00E01DA0">
        <w:rPr>
          <w:rFonts w:cs="Times New Roman"/>
        </w:rPr>
        <w:t>term did not escape from Whitehall to capture</w:t>
      </w:r>
      <w:r w:rsidR="0042151E">
        <w:rPr>
          <w:rFonts w:cs="Times New Roman"/>
        </w:rPr>
        <w:t xml:space="preserve"> </w:t>
      </w:r>
      <w:r w:rsidR="00D3513E">
        <w:rPr>
          <w:rFonts w:cs="Times New Roman"/>
        </w:rPr>
        <w:t xml:space="preserve">more </w:t>
      </w:r>
      <w:r w:rsidR="006F23BE">
        <w:rPr>
          <w:rFonts w:cs="Times New Roman"/>
        </w:rPr>
        <w:t xml:space="preserve">public </w:t>
      </w:r>
      <w:r w:rsidR="00E01DA0">
        <w:rPr>
          <w:rFonts w:cs="Times New Roman"/>
        </w:rPr>
        <w:t xml:space="preserve">attention until the beginning of the twentieth century. </w:t>
      </w:r>
      <w:r w:rsidR="006F23BE">
        <w:rPr>
          <w:rFonts w:cs="Times New Roman"/>
        </w:rPr>
        <w:t>I</w:t>
      </w:r>
      <w:r w:rsidR="00E01DA0" w:rsidRPr="00E01DA0">
        <w:rPr>
          <w:rFonts w:cs="Times New Roman"/>
        </w:rPr>
        <w:t xml:space="preserve">n 1900 General </w:t>
      </w:r>
      <w:r w:rsidR="006F23BE">
        <w:rPr>
          <w:rFonts w:cs="Times New Roman"/>
        </w:rPr>
        <w:t xml:space="preserve">Sir </w:t>
      </w:r>
      <w:r w:rsidR="00E01DA0" w:rsidRPr="00E01DA0">
        <w:rPr>
          <w:rFonts w:cs="Times New Roman"/>
        </w:rPr>
        <w:t>Thomas Edward Gordon</w:t>
      </w:r>
      <w:r w:rsidR="006F23BE">
        <w:rPr>
          <w:rFonts w:cs="Times New Roman"/>
        </w:rPr>
        <w:t>, who had fought in India during the Mutin</w:t>
      </w:r>
      <w:r w:rsidR="00C739C4">
        <w:rPr>
          <w:rFonts w:cs="Times New Roman"/>
        </w:rPr>
        <w:t>y and served as Military Attaché</w:t>
      </w:r>
      <w:r w:rsidR="006F23BE">
        <w:rPr>
          <w:rFonts w:cs="Times New Roman"/>
        </w:rPr>
        <w:t xml:space="preserve"> and Oriental Secretary at the British Embassy in Tehran, </w:t>
      </w:r>
      <w:r w:rsidR="00E01DA0" w:rsidRPr="00E01DA0">
        <w:rPr>
          <w:rFonts w:cs="Times New Roman"/>
        </w:rPr>
        <w:t>published an essay on ‘The problem of the Middle East’</w:t>
      </w:r>
      <w:r w:rsidR="009516E0">
        <w:rPr>
          <w:rFonts w:cs="Times New Roman"/>
        </w:rPr>
        <w:t>, which he regarded as ‘the cornerstone of the British Empire’</w:t>
      </w:r>
      <w:r w:rsidR="006F23BE">
        <w:rPr>
          <w:rFonts w:cs="Times New Roman"/>
        </w:rPr>
        <w:t xml:space="preserve">. </w:t>
      </w:r>
      <w:r w:rsidR="006B3FBD">
        <w:rPr>
          <w:rFonts w:cs="Times New Roman"/>
        </w:rPr>
        <w:t>As a soldier, h</w:t>
      </w:r>
      <w:r w:rsidR="00CA7A40">
        <w:rPr>
          <w:rFonts w:cs="Times New Roman"/>
        </w:rPr>
        <w:t xml:space="preserve">e </w:t>
      </w:r>
      <w:r w:rsidR="009516E0">
        <w:rPr>
          <w:rFonts w:cs="Times New Roman"/>
        </w:rPr>
        <w:t xml:space="preserve">was </w:t>
      </w:r>
      <w:r w:rsidR="009F5061">
        <w:rPr>
          <w:rFonts w:cs="Times New Roman"/>
        </w:rPr>
        <w:t xml:space="preserve">concerned </w:t>
      </w:r>
      <w:r w:rsidR="00E37C50">
        <w:rPr>
          <w:rFonts w:cs="Times New Roman"/>
        </w:rPr>
        <w:t xml:space="preserve">above all with </w:t>
      </w:r>
      <w:r w:rsidR="00E01DA0" w:rsidRPr="00E01DA0">
        <w:rPr>
          <w:rFonts w:cs="Times New Roman"/>
        </w:rPr>
        <w:t>the land approach to India through Persia and Afghanistan</w:t>
      </w:r>
      <w:r w:rsidR="009F5061">
        <w:rPr>
          <w:rFonts w:cs="Times New Roman"/>
        </w:rPr>
        <w:t xml:space="preserve">, but he made no fanfare about the </w:t>
      </w:r>
      <w:r w:rsidR="00E01DA0" w:rsidRPr="00E01DA0">
        <w:rPr>
          <w:rFonts w:cs="Times New Roman"/>
        </w:rPr>
        <w:t>term</w:t>
      </w:r>
      <w:r w:rsidR="009F5061">
        <w:rPr>
          <w:rFonts w:cs="Times New Roman"/>
        </w:rPr>
        <w:t xml:space="preserve"> itself</w:t>
      </w:r>
      <w:r w:rsidR="00E01DA0" w:rsidRPr="00E01DA0">
        <w:rPr>
          <w:rFonts w:cs="Times New Roman"/>
        </w:rPr>
        <w:t xml:space="preserve">, </w:t>
      </w:r>
      <w:r w:rsidR="009516E0">
        <w:rPr>
          <w:rFonts w:cs="Times New Roman"/>
        </w:rPr>
        <w:t xml:space="preserve">which he evidently regarded </w:t>
      </w:r>
      <w:r w:rsidR="006F23BE">
        <w:rPr>
          <w:rFonts w:cs="Times New Roman"/>
        </w:rPr>
        <w:t xml:space="preserve">as </w:t>
      </w:r>
      <w:r w:rsidR="00E01DA0" w:rsidRPr="00E01DA0">
        <w:rPr>
          <w:rFonts w:cs="Times New Roman"/>
        </w:rPr>
        <w:t xml:space="preserve">commonplace in the military and diplomatic circles in which he moved. </w:t>
      </w:r>
      <w:r w:rsidR="009516E0">
        <w:rPr>
          <w:rStyle w:val="FootnoteReference"/>
          <w:rFonts w:cs="Times New Roman"/>
        </w:rPr>
        <w:footnoteReference w:id="13"/>
      </w:r>
      <w:r w:rsidR="006F23BE">
        <w:rPr>
          <w:rFonts w:cs="Times New Roman"/>
        </w:rPr>
        <w:t xml:space="preserve"> The </w:t>
      </w:r>
      <w:r w:rsidR="009F5061">
        <w:rPr>
          <w:rFonts w:cs="Times New Roman"/>
        </w:rPr>
        <w:t>same could not</w:t>
      </w:r>
      <w:r w:rsidR="00E37C50">
        <w:rPr>
          <w:rFonts w:cs="Times New Roman"/>
        </w:rPr>
        <w:t xml:space="preserve"> be said of an </w:t>
      </w:r>
      <w:r w:rsidR="00E51089">
        <w:rPr>
          <w:rFonts w:cs="Times New Roman"/>
        </w:rPr>
        <w:t xml:space="preserve">influential essay published in the </w:t>
      </w:r>
      <w:r w:rsidR="00E51089" w:rsidRPr="00E51089">
        <w:rPr>
          <w:rFonts w:cs="Times New Roman"/>
          <w:i/>
        </w:rPr>
        <w:t>National Review</w:t>
      </w:r>
      <w:r w:rsidR="00E51089">
        <w:rPr>
          <w:rFonts w:cs="Times New Roman"/>
        </w:rPr>
        <w:t xml:space="preserve"> in </w:t>
      </w:r>
      <w:r w:rsidR="009F5061">
        <w:rPr>
          <w:rFonts w:cs="Times New Roman"/>
        </w:rPr>
        <w:t xml:space="preserve">1902 by an </w:t>
      </w:r>
      <w:r w:rsidR="00791B19" w:rsidRPr="00AE5703">
        <w:rPr>
          <w:rFonts w:cs="Times New Roman"/>
        </w:rPr>
        <w:t xml:space="preserve">American naval officer, </w:t>
      </w:r>
      <w:r w:rsidR="00011D8C" w:rsidRPr="00AE5703">
        <w:rPr>
          <w:rFonts w:cs="Times New Roman"/>
        </w:rPr>
        <w:t>Alfred Thayer Mahan</w:t>
      </w:r>
      <w:r w:rsidR="009F5061">
        <w:rPr>
          <w:rFonts w:cs="Times New Roman"/>
        </w:rPr>
        <w:t xml:space="preserve">. In </w:t>
      </w:r>
      <w:r w:rsidR="00791B19" w:rsidRPr="00AE5703">
        <w:rPr>
          <w:rFonts w:cs="Times New Roman"/>
        </w:rPr>
        <w:t>‘The Persian Gul</w:t>
      </w:r>
      <w:r w:rsidR="009F5061">
        <w:rPr>
          <w:rFonts w:cs="Times New Roman"/>
        </w:rPr>
        <w:t xml:space="preserve">f and International Relations’, </w:t>
      </w:r>
      <w:r w:rsidR="00E01DA0">
        <w:rPr>
          <w:rFonts w:cs="Times New Roman"/>
        </w:rPr>
        <w:t>Mahan a</w:t>
      </w:r>
      <w:r w:rsidR="00791B19" w:rsidRPr="00AE5703">
        <w:rPr>
          <w:rFonts w:cs="Times New Roman"/>
        </w:rPr>
        <w:t xml:space="preserve">rgued that </w:t>
      </w:r>
      <w:r>
        <w:rPr>
          <w:rFonts w:cs="Times New Roman"/>
        </w:rPr>
        <w:t xml:space="preserve">British </w:t>
      </w:r>
      <w:r w:rsidR="00791B19" w:rsidRPr="00AE5703">
        <w:rPr>
          <w:rFonts w:cs="Times New Roman"/>
        </w:rPr>
        <w:t xml:space="preserve">control over </w:t>
      </w:r>
      <w:r>
        <w:rPr>
          <w:rFonts w:cs="Times New Roman"/>
        </w:rPr>
        <w:t xml:space="preserve">the </w:t>
      </w:r>
      <w:r w:rsidR="009F5061">
        <w:rPr>
          <w:rFonts w:cs="Times New Roman"/>
        </w:rPr>
        <w:t xml:space="preserve">approaches </w:t>
      </w:r>
      <w:r w:rsidR="00791B19" w:rsidRPr="00AE5703">
        <w:rPr>
          <w:rFonts w:cs="Times New Roman"/>
        </w:rPr>
        <w:t>to India was threatened by Russi</w:t>
      </w:r>
      <w:r w:rsidR="00ED5571" w:rsidRPr="00AE5703">
        <w:rPr>
          <w:rFonts w:cs="Times New Roman"/>
        </w:rPr>
        <w:t xml:space="preserve">an advances in Central Asia and </w:t>
      </w:r>
      <w:r w:rsidR="00791B19" w:rsidRPr="00AE5703">
        <w:rPr>
          <w:rFonts w:cs="Times New Roman"/>
        </w:rPr>
        <w:t xml:space="preserve">by the proposed </w:t>
      </w:r>
      <w:r w:rsidR="00011D8C" w:rsidRPr="00AE5703">
        <w:rPr>
          <w:rFonts w:cs="Times New Roman"/>
        </w:rPr>
        <w:t>Berlin-</w:t>
      </w:r>
      <w:r w:rsidR="00791B19" w:rsidRPr="00AE5703">
        <w:rPr>
          <w:rFonts w:cs="Times New Roman"/>
        </w:rPr>
        <w:t>Baghdad</w:t>
      </w:r>
      <w:r w:rsidR="00011D8C" w:rsidRPr="00AE5703">
        <w:rPr>
          <w:rFonts w:cs="Times New Roman"/>
        </w:rPr>
        <w:t xml:space="preserve"> railway that </w:t>
      </w:r>
      <w:r w:rsidR="009F5061">
        <w:rPr>
          <w:rFonts w:cs="Times New Roman"/>
        </w:rPr>
        <w:t xml:space="preserve">would </w:t>
      </w:r>
      <w:r w:rsidR="00ED5571" w:rsidRPr="00AE5703">
        <w:rPr>
          <w:rFonts w:cs="Times New Roman"/>
        </w:rPr>
        <w:t xml:space="preserve">bypass Suez and open rival access to the Gulf. </w:t>
      </w:r>
      <w:r w:rsidR="00ED5571" w:rsidRPr="00AE5703">
        <w:rPr>
          <w:rStyle w:val="FootnoteReference"/>
          <w:rFonts w:cs="Times New Roman"/>
        </w:rPr>
        <w:footnoteReference w:id="14"/>
      </w:r>
      <w:r w:rsidR="00ED5571" w:rsidRPr="00AE5703">
        <w:rPr>
          <w:rFonts w:cs="Times New Roman"/>
        </w:rPr>
        <w:t xml:space="preserve"> </w:t>
      </w:r>
      <w:r w:rsidR="009F5061">
        <w:rPr>
          <w:rFonts w:cs="Times New Roman"/>
        </w:rPr>
        <w:t xml:space="preserve"> Mahan was unaware of </w:t>
      </w:r>
      <w:r w:rsidR="00E51089">
        <w:rPr>
          <w:rFonts w:cs="Times New Roman"/>
        </w:rPr>
        <w:t>Gordon’s essay</w:t>
      </w:r>
      <w:r w:rsidR="009F5061">
        <w:rPr>
          <w:rFonts w:cs="Times New Roman"/>
        </w:rPr>
        <w:t xml:space="preserve"> and</w:t>
      </w:r>
      <w:r w:rsidR="00E51089">
        <w:rPr>
          <w:rFonts w:cs="Times New Roman"/>
        </w:rPr>
        <w:t>,</w:t>
      </w:r>
      <w:r w:rsidR="009F5061">
        <w:rPr>
          <w:rFonts w:cs="Times New Roman"/>
        </w:rPr>
        <w:t xml:space="preserve"> unlike his </w:t>
      </w:r>
      <w:r w:rsidR="00CA7A40">
        <w:rPr>
          <w:rFonts w:cs="Times New Roman"/>
        </w:rPr>
        <w:t xml:space="preserve">military </w:t>
      </w:r>
      <w:r w:rsidR="009F5061">
        <w:rPr>
          <w:rFonts w:cs="Times New Roman"/>
        </w:rPr>
        <w:t>predecessor</w:t>
      </w:r>
      <w:r w:rsidR="00E51089">
        <w:rPr>
          <w:rFonts w:cs="Times New Roman"/>
        </w:rPr>
        <w:t>,</w:t>
      </w:r>
      <w:r w:rsidR="009F5061">
        <w:rPr>
          <w:rFonts w:cs="Times New Roman"/>
        </w:rPr>
        <w:t xml:space="preserve"> </w:t>
      </w:r>
      <w:r w:rsidR="00791B19" w:rsidRPr="00AE5703">
        <w:rPr>
          <w:rFonts w:cs="Times New Roman"/>
        </w:rPr>
        <w:t>championed the importance of sea power</w:t>
      </w:r>
      <w:r w:rsidR="00CA7A40">
        <w:rPr>
          <w:rFonts w:cs="Times New Roman"/>
        </w:rPr>
        <w:t>:</w:t>
      </w:r>
      <w:r w:rsidR="00966287">
        <w:rPr>
          <w:rFonts w:cs="Times New Roman"/>
        </w:rPr>
        <w:t xml:space="preserve"> </w:t>
      </w:r>
    </w:p>
    <w:p w14:paraId="53F484A9" w14:textId="77777777" w:rsidR="00D97A06" w:rsidRDefault="00D97A06" w:rsidP="00AF3515">
      <w:pPr>
        <w:spacing w:line="360" w:lineRule="auto"/>
        <w:ind w:right="-7" w:firstLine="720"/>
        <w:jc w:val="both"/>
        <w:rPr>
          <w:rFonts w:cs="Times New Roman"/>
        </w:rPr>
      </w:pPr>
    </w:p>
    <w:p w14:paraId="1CEEFF38" w14:textId="75F758B6" w:rsidR="00053502" w:rsidRDefault="00D97A06" w:rsidP="00D97A06">
      <w:pPr>
        <w:spacing w:line="360" w:lineRule="auto"/>
        <w:ind w:right="-7"/>
        <w:jc w:val="both"/>
        <w:rPr>
          <w:rFonts w:cs="Times New Roman"/>
        </w:rPr>
      </w:pPr>
      <w:r>
        <w:rPr>
          <w:rFonts w:cs="Times New Roman"/>
        </w:rPr>
        <w:t>‘</w:t>
      </w:r>
      <w:r w:rsidR="00CA7A40">
        <w:rPr>
          <w:rFonts w:cs="Times New Roman"/>
        </w:rPr>
        <w:t>T</w:t>
      </w:r>
      <w:r w:rsidR="00791B19" w:rsidRPr="00AE5703">
        <w:rPr>
          <w:rFonts w:cs="Times New Roman"/>
        </w:rPr>
        <w:t xml:space="preserve">he Middle East </w:t>
      </w:r>
      <w:r w:rsidR="00053502">
        <w:rPr>
          <w:rFonts w:cs="Times New Roman"/>
        </w:rPr>
        <w:t xml:space="preserve">– </w:t>
      </w:r>
      <w:r w:rsidR="00192085" w:rsidRPr="00AE5703">
        <w:rPr>
          <w:rFonts w:cs="Times New Roman"/>
        </w:rPr>
        <w:t>if I may adapt a term I have not seen</w:t>
      </w:r>
      <w:r w:rsidR="00966287">
        <w:rPr>
          <w:rFonts w:cs="Times New Roman"/>
        </w:rPr>
        <w:t xml:space="preserve"> </w:t>
      </w:r>
      <w:r w:rsidR="00192085" w:rsidRPr="00AE5703">
        <w:rPr>
          <w:rFonts w:cs="Times New Roman"/>
        </w:rPr>
        <w:t xml:space="preserve">– </w:t>
      </w:r>
      <w:r>
        <w:rPr>
          <w:rFonts w:cs="Times New Roman"/>
        </w:rPr>
        <w:t xml:space="preserve">will some day need its Malta, as well as its Gibraltar; </w:t>
      </w:r>
      <w:r w:rsidRPr="00D97A06">
        <w:rPr>
          <w:rFonts w:cs="Times New Roman"/>
          <w:lang w:val="en-US"/>
        </w:rPr>
        <w:t>it does not follow that either will be in the Gulf. Naval force has the quality of mobility</w:t>
      </w:r>
      <w:r w:rsidR="00CA7A40">
        <w:rPr>
          <w:rFonts w:cs="Times New Roman"/>
          <w:lang w:val="en-US"/>
        </w:rPr>
        <w:t>,</w:t>
      </w:r>
      <w:r w:rsidRPr="00D97A06">
        <w:rPr>
          <w:rFonts w:cs="Times New Roman"/>
          <w:lang w:val="en-US"/>
        </w:rPr>
        <w:t xml:space="preserve"> which carries with it the privilege of temporary absences; but it needs to find on every scene of operation established bases of refit, of supply, and, in case of disaster, of security. The British Navy should have the facility to concentrate in force, if occasion arise, about Aden, India, and the Gulf.</w:t>
      </w:r>
      <w:r>
        <w:rPr>
          <w:rFonts w:cs="Times New Roman"/>
          <w:lang w:val="en-US"/>
        </w:rPr>
        <w:t xml:space="preserve">’ </w:t>
      </w:r>
      <w:r w:rsidR="00CA7A40">
        <w:rPr>
          <w:rStyle w:val="FootnoteReference"/>
          <w:rFonts w:cs="Times New Roman"/>
          <w:lang w:val="en-US"/>
        </w:rPr>
        <w:footnoteReference w:id="15"/>
      </w:r>
    </w:p>
    <w:p w14:paraId="7EE0D3AE" w14:textId="77777777" w:rsidR="00053502" w:rsidRDefault="00053502" w:rsidP="00D97A06">
      <w:pPr>
        <w:spacing w:line="360" w:lineRule="auto"/>
        <w:ind w:right="-7"/>
        <w:jc w:val="both"/>
        <w:rPr>
          <w:rFonts w:cs="Times New Roman"/>
        </w:rPr>
      </w:pPr>
    </w:p>
    <w:p w14:paraId="648C3AC7" w14:textId="26E570F3" w:rsidR="00791B19" w:rsidRPr="00D97A06" w:rsidRDefault="00D3513E" w:rsidP="00D97A06">
      <w:pPr>
        <w:spacing w:line="360" w:lineRule="auto"/>
        <w:ind w:right="-7"/>
        <w:jc w:val="both"/>
        <w:rPr>
          <w:rFonts w:cs="Times New Roman"/>
          <w:lang w:val="en-US"/>
        </w:rPr>
      </w:pPr>
      <w:r>
        <w:rPr>
          <w:rFonts w:cs="Times New Roman"/>
        </w:rPr>
        <w:t xml:space="preserve">Almost immediately </w:t>
      </w:r>
      <w:r w:rsidR="00192085" w:rsidRPr="00AE5703">
        <w:rPr>
          <w:rFonts w:cs="Times New Roman"/>
        </w:rPr>
        <w:t xml:space="preserve">Mahan’s </w:t>
      </w:r>
      <w:r>
        <w:rPr>
          <w:rFonts w:cs="Times New Roman"/>
        </w:rPr>
        <w:t xml:space="preserve">presumptive </w:t>
      </w:r>
      <w:r w:rsidR="009F5061">
        <w:rPr>
          <w:rFonts w:cs="Times New Roman"/>
        </w:rPr>
        <w:t xml:space="preserve">claim to the term was registered and popularized </w:t>
      </w:r>
      <w:r w:rsidR="00791B19" w:rsidRPr="00AE5703">
        <w:rPr>
          <w:rFonts w:cs="Times New Roman"/>
        </w:rPr>
        <w:t xml:space="preserve">by Valentine Chirol, </w:t>
      </w:r>
      <w:r w:rsidR="00966287">
        <w:rPr>
          <w:rFonts w:cs="Times New Roman"/>
        </w:rPr>
        <w:t xml:space="preserve">Foreign Editor of the </w:t>
      </w:r>
      <w:r w:rsidR="00966287" w:rsidRPr="0009458F">
        <w:rPr>
          <w:rFonts w:cs="Times New Roman"/>
          <w:i/>
        </w:rPr>
        <w:t>Times</w:t>
      </w:r>
      <w:r w:rsidR="00966287">
        <w:rPr>
          <w:rFonts w:cs="Times New Roman"/>
        </w:rPr>
        <w:t xml:space="preserve">, </w:t>
      </w:r>
      <w:r w:rsidR="00192085" w:rsidRPr="00AE5703">
        <w:rPr>
          <w:rFonts w:cs="Times New Roman"/>
        </w:rPr>
        <w:t>whose car</w:t>
      </w:r>
      <w:r w:rsidR="00966287">
        <w:rPr>
          <w:rFonts w:cs="Times New Roman"/>
        </w:rPr>
        <w:t xml:space="preserve">eer in journalism </w:t>
      </w:r>
      <w:r w:rsidR="0009458F">
        <w:rPr>
          <w:rFonts w:cs="Times New Roman"/>
        </w:rPr>
        <w:t>had started with a brief appren</w:t>
      </w:r>
      <w:r w:rsidR="00966287">
        <w:rPr>
          <w:rFonts w:cs="Times New Roman"/>
        </w:rPr>
        <w:t>ti</w:t>
      </w:r>
      <w:r w:rsidR="0009458F">
        <w:rPr>
          <w:rFonts w:cs="Times New Roman"/>
        </w:rPr>
        <w:t>ce</w:t>
      </w:r>
      <w:r w:rsidR="00966287">
        <w:rPr>
          <w:rFonts w:cs="Times New Roman"/>
        </w:rPr>
        <w:t>ship</w:t>
      </w:r>
      <w:r w:rsidR="00192085" w:rsidRPr="00AE5703">
        <w:rPr>
          <w:rFonts w:cs="Times New Roman"/>
        </w:rPr>
        <w:t xml:space="preserve"> </w:t>
      </w:r>
      <w:r w:rsidR="0009458F">
        <w:rPr>
          <w:rFonts w:cs="Times New Roman"/>
        </w:rPr>
        <w:t xml:space="preserve">on </w:t>
      </w:r>
      <w:r w:rsidR="00192085" w:rsidRPr="00AE5703">
        <w:rPr>
          <w:rFonts w:cs="Times New Roman"/>
        </w:rPr>
        <w:t xml:space="preserve">the </w:t>
      </w:r>
      <w:r w:rsidR="00BF1AE9" w:rsidRPr="00AE5703">
        <w:rPr>
          <w:rFonts w:cs="Times New Roman"/>
          <w:i/>
        </w:rPr>
        <w:t xml:space="preserve">Levant </w:t>
      </w:r>
      <w:r w:rsidR="00192085" w:rsidRPr="00AE5703">
        <w:rPr>
          <w:rFonts w:cs="Times New Roman"/>
          <w:i/>
        </w:rPr>
        <w:t>Herald</w:t>
      </w:r>
      <w:r w:rsidR="00BF1AE9" w:rsidRPr="00AE5703">
        <w:rPr>
          <w:rFonts w:cs="Times New Roman"/>
        </w:rPr>
        <w:t xml:space="preserve"> </w:t>
      </w:r>
      <w:r w:rsidR="00966287">
        <w:rPr>
          <w:rFonts w:cs="Times New Roman"/>
        </w:rPr>
        <w:t>in Constantinople.  He wrote a series of articles for</w:t>
      </w:r>
      <w:r w:rsidR="00791B19" w:rsidRPr="00AE5703">
        <w:rPr>
          <w:rFonts w:cs="Times New Roman"/>
        </w:rPr>
        <w:t xml:space="preserve"> the </w:t>
      </w:r>
      <w:r w:rsidR="00791B19" w:rsidRPr="00AE5703">
        <w:rPr>
          <w:rFonts w:cs="Times New Roman"/>
          <w:i/>
        </w:rPr>
        <w:t xml:space="preserve">Times </w:t>
      </w:r>
      <w:r w:rsidR="00192085" w:rsidRPr="00AE5703">
        <w:rPr>
          <w:rFonts w:cs="Times New Roman"/>
        </w:rPr>
        <w:t xml:space="preserve">that appeared in book form as </w:t>
      </w:r>
      <w:r w:rsidR="00791B19" w:rsidRPr="00AE5703">
        <w:rPr>
          <w:rFonts w:cs="Times New Roman"/>
          <w:i/>
        </w:rPr>
        <w:t>The Middle Eastern Question, or some political problems of Indian defence</w:t>
      </w:r>
      <w:r w:rsidR="00791B19" w:rsidRPr="00AE5703">
        <w:rPr>
          <w:rFonts w:cs="Times New Roman"/>
        </w:rPr>
        <w:t xml:space="preserve"> (1903).  </w:t>
      </w:r>
      <w:r w:rsidR="00966287">
        <w:rPr>
          <w:rFonts w:cs="Times New Roman"/>
        </w:rPr>
        <w:t>By then, t</w:t>
      </w:r>
      <w:r w:rsidR="00791B19" w:rsidRPr="00AE5703">
        <w:rPr>
          <w:rFonts w:cs="Times New Roman"/>
        </w:rPr>
        <w:t xml:space="preserve">he ‘Middle East’ was </w:t>
      </w:r>
      <w:r w:rsidR="0009458F">
        <w:rPr>
          <w:rFonts w:cs="Times New Roman"/>
        </w:rPr>
        <w:t xml:space="preserve">envisioned </w:t>
      </w:r>
      <w:r w:rsidR="00791B19" w:rsidRPr="00AE5703">
        <w:rPr>
          <w:rFonts w:cs="Times New Roman"/>
        </w:rPr>
        <w:t xml:space="preserve">as a security belt </w:t>
      </w:r>
      <w:r w:rsidR="00192085" w:rsidRPr="00AE5703">
        <w:rPr>
          <w:rFonts w:cs="Times New Roman"/>
        </w:rPr>
        <w:t xml:space="preserve">on land and </w:t>
      </w:r>
      <w:r w:rsidR="0009458F">
        <w:rPr>
          <w:rFonts w:cs="Times New Roman"/>
        </w:rPr>
        <w:t xml:space="preserve">on </w:t>
      </w:r>
      <w:r w:rsidR="00192085" w:rsidRPr="00AE5703">
        <w:rPr>
          <w:rFonts w:cs="Times New Roman"/>
        </w:rPr>
        <w:t>sea</w:t>
      </w:r>
      <w:r w:rsidR="0009458F">
        <w:rPr>
          <w:rFonts w:cs="Times New Roman"/>
        </w:rPr>
        <w:t xml:space="preserve"> running across the northern and western approaches to India</w:t>
      </w:r>
      <w:r w:rsidR="00CA7A40">
        <w:rPr>
          <w:rFonts w:cs="Times New Roman"/>
        </w:rPr>
        <w:t>,</w:t>
      </w:r>
      <w:r w:rsidR="0009458F">
        <w:rPr>
          <w:rFonts w:cs="Times New Roman"/>
        </w:rPr>
        <w:t xml:space="preserve"> </w:t>
      </w:r>
      <w:r w:rsidR="00791B19" w:rsidRPr="00AE5703">
        <w:rPr>
          <w:rFonts w:cs="Times New Roman"/>
        </w:rPr>
        <w:t>from Persia through Mesopotamia and Afghanistan to Kashmir, Nepal and Tibet</w:t>
      </w:r>
      <w:r w:rsidR="00D97A06">
        <w:rPr>
          <w:rFonts w:cs="Times New Roman"/>
        </w:rPr>
        <w:t xml:space="preserve">; with the conclusion of Chirol’s series the </w:t>
      </w:r>
      <w:r w:rsidR="00D97A06" w:rsidRPr="00D97A06">
        <w:rPr>
          <w:rFonts w:cs="Times New Roman"/>
          <w:i/>
        </w:rPr>
        <w:t>Times</w:t>
      </w:r>
      <w:r w:rsidR="00D97A06">
        <w:rPr>
          <w:rFonts w:cs="Times New Roman"/>
        </w:rPr>
        <w:t xml:space="preserve"> removed the scare-quotes from the term</w:t>
      </w:r>
      <w:r w:rsidR="0009458F">
        <w:rPr>
          <w:rFonts w:cs="Times New Roman"/>
        </w:rPr>
        <w:t xml:space="preserve">. </w:t>
      </w:r>
    </w:p>
    <w:p w14:paraId="72B7E34B" w14:textId="77777777" w:rsidR="00791B19" w:rsidRDefault="00791B19" w:rsidP="00791B19">
      <w:pPr>
        <w:spacing w:line="360" w:lineRule="auto"/>
        <w:ind w:right="-7"/>
        <w:jc w:val="both"/>
        <w:rPr>
          <w:rFonts w:cs="Times New Roman"/>
        </w:rPr>
      </w:pPr>
    </w:p>
    <w:p w14:paraId="63BA964D" w14:textId="082503D5" w:rsidR="00E37C50" w:rsidRPr="00AE5703" w:rsidRDefault="00E37C50" w:rsidP="00E37C50">
      <w:pPr>
        <w:spacing w:line="360" w:lineRule="auto"/>
        <w:ind w:right="-7"/>
        <w:jc w:val="center"/>
        <w:rPr>
          <w:rFonts w:cs="Times New Roman"/>
        </w:rPr>
      </w:pPr>
      <w:r>
        <w:rPr>
          <w:rFonts w:cs="Times New Roman"/>
        </w:rPr>
        <w:t>* * *</w:t>
      </w:r>
    </w:p>
    <w:p w14:paraId="72DF5F57" w14:textId="1090338D" w:rsidR="00135089" w:rsidRDefault="00053502" w:rsidP="00DF686B">
      <w:pPr>
        <w:spacing w:line="360" w:lineRule="auto"/>
        <w:ind w:right="-7" w:firstLine="720"/>
        <w:jc w:val="both"/>
        <w:rPr>
          <w:rFonts w:cs="Times New Roman"/>
          <w:lang w:val="en-US"/>
        </w:rPr>
      </w:pPr>
      <w:r>
        <w:rPr>
          <w:rFonts w:cs="Times New Roman"/>
          <w:lang w:val="en-US"/>
        </w:rPr>
        <w:t xml:space="preserve">These geopolitical warnings – particularly those </w:t>
      </w:r>
      <w:r w:rsidR="00D231BE">
        <w:rPr>
          <w:rFonts w:cs="Times New Roman"/>
          <w:lang w:val="en-US"/>
        </w:rPr>
        <w:t xml:space="preserve">that drew </w:t>
      </w:r>
      <w:r>
        <w:rPr>
          <w:rFonts w:cs="Times New Roman"/>
          <w:lang w:val="en-US"/>
        </w:rPr>
        <w:t>attention to German</w:t>
      </w:r>
      <w:r w:rsidR="00D3513E">
        <w:rPr>
          <w:rFonts w:cs="Times New Roman"/>
          <w:lang w:val="en-US"/>
        </w:rPr>
        <w:t>y</w:t>
      </w:r>
      <w:r>
        <w:rPr>
          <w:rFonts w:cs="Times New Roman"/>
          <w:lang w:val="en-US"/>
        </w:rPr>
        <w:t xml:space="preserve">’s imperial ambitions – were taken very seriously, and </w:t>
      </w:r>
      <w:r w:rsidR="00D97A06" w:rsidRPr="00D97A06">
        <w:rPr>
          <w:rFonts w:cs="Times New Roman"/>
          <w:lang w:val="en-US"/>
        </w:rPr>
        <w:t xml:space="preserve">Morris Jastow claimed that by the First World War there was a widespread feeling that ‘if, as Napoleon is said to have remarked, </w:t>
      </w:r>
      <w:hyperlink r:id="rId7" w:history="1">
        <w:r w:rsidR="00D97A06" w:rsidRPr="00053502">
          <w:rPr>
            <w:rStyle w:val="Hyperlink"/>
            <w:rFonts w:cs="Times New Roman"/>
            <w:color w:val="000000" w:themeColor="text1"/>
            <w:u w:val="none"/>
            <w:lang w:val="en-US"/>
          </w:rPr>
          <w:t>Antwerp</w:t>
        </w:r>
      </w:hyperlink>
      <w:r w:rsidR="00D97A06" w:rsidRPr="00053502">
        <w:rPr>
          <w:rFonts w:cs="Times New Roman"/>
          <w:color w:val="000000" w:themeColor="text1"/>
          <w:lang w:val="en-US"/>
        </w:rPr>
        <w:t xml:space="preserve"> </w:t>
      </w:r>
      <w:r w:rsidR="00D97A06" w:rsidRPr="00D97A06">
        <w:rPr>
          <w:rFonts w:cs="Times New Roman"/>
          <w:lang w:val="en-US"/>
        </w:rPr>
        <w:t>in the hands of a great continental power was a pistol levelled at the English coast, Bag</w:t>
      </w:r>
      <w:r>
        <w:rPr>
          <w:rFonts w:cs="Times New Roman"/>
          <w:lang w:val="en-US"/>
        </w:rPr>
        <w:t>h</w:t>
      </w:r>
      <w:r w:rsidR="00D97A06" w:rsidRPr="00D97A06">
        <w:rPr>
          <w:rFonts w:cs="Times New Roman"/>
          <w:lang w:val="en-US"/>
        </w:rPr>
        <w:t>dad and the Persian Gulf in the hands of Germany (or any other strong power) would be a 42-centimetre gun pointed at India</w:t>
      </w:r>
      <w:r>
        <w:rPr>
          <w:rFonts w:cs="Times New Roman"/>
          <w:lang w:val="en-US"/>
        </w:rPr>
        <w:t>.</w:t>
      </w:r>
      <w:r w:rsidR="00D97A06" w:rsidRPr="00D97A06">
        <w:rPr>
          <w:rFonts w:cs="Times New Roman"/>
          <w:lang w:val="en-US"/>
        </w:rPr>
        <w:t>’</w:t>
      </w:r>
      <w:r>
        <w:rPr>
          <w:rFonts w:cs="Times New Roman"/>
          <w:lang w:val="en-US"/>
        </w:rPr>
        <w:t xml:space="preserve"> </w:t>
      </w:r>
      <w:r>
        <w:rPr>
          <w:rStyle w:val="FootnoteReference"/>
          <w:rFonts w:cs="Times New Roman"/>
          <w:lang w:val="en-US"/>
        </w:rPr>
        <w:footnoteReference w:id="16"/>
      </w:r>
      <w:r w:rsidR="008448C0">
        <w:rPr>
          <w:rFonts w:cs="Times New Roman"/>
          <w:lang w:val="en-US"/>
        </w:rPr>
        <w:t xml:space="preserve"> </w:t>
      </w:r>
      <w:r>
        <w:rPr>
          <w:rFonts w:cs="Times New Roman"/>
          <w:lang w:val="en-US"/>
        </w:rPr>
        <w:t xml:space="preserve"> </w:t>
      </w:r>
      <w:r w:rsidR="008448C0">
        <w:rPr>
          <w:rFonts w:cs="Times New Roman"/>
          <w:lang w:val="en-US"/>
        </w:rPr>
        <w:t xml:space="preserve">This </w:t>
      </w:r>
      <w:r>
        <w:rPr>
          <w:rFonts w:cs="Times New Roman"/>
          <w:lang w:val="en-US"/>
        </w:rPr>
        <w:t>required Britain to</w:t>
      </w:r>
      <w:r w:rsidR="008448C0">
        <w:rPr>
          <w:rFonts w:cs="Times New Roman"/>
          <w:lang w:val="en-US"/>
        </w:rPr>
        <w:t xml:space="preserve"> confront the Ottoman Empire not only on</w:t>
      </w:r>
      <w:r w:rsidR="003875DF">
        <w:rPr>
          <w:rFonts w:cs="Times New Roman"/>
          <w:lang w:val="en-US"/>
        </w:rPr>
        <w:t xml:space="preserve"> land and sea </w:t>
      </w:r>
      <w:r w:rsidR="00D3513E">
        <w:rPr>
          <w:rFonts w:cs="Times New Roman"/>
          <w:lang w:val="en-US"/>
        </w:rPr>
        <w:t xml:space="preserve">– as it did </w:t>
      </w:r>
      <w:r w:rsidR="003875DF">
        <w:rPr>
          <w:rFonts w:cs="Times New Roman"/>
          <w:lang w:val="en-US"/>
        </w:rPr>
        <w:t xml:space="preserve">again and again </w:t>
      </w:r>
      <w:r w:rsidR="006B3FBD">
        <w:rPr>
          <w:rFonts w:cs="Times New Roman"/>
          <w:lang w:val="en-US"/>
        </w:rPr>
        <w:t xml:space="preserve">after </w:t>
      </w:r>
      <w:r w:rsidR="00D3513E">
        <w:rPr>
          <w:rFonts w:cs="Times New Roman"/>
          <w:lang w:val="en-US"/>
        </w:rPr>
        <w:t>Turkish forces openly joined the Central Powers in October 1914</w:t>
      </w:r>
      <w:r w:rsidR="003875DF">
        <w:rPr>
          <w:rFonts w:cs="Times New Roman"/>
          <w:lang w:val="en-US"/>
        </w:rPr>
        <w:t xml:space="preserve"> </w:t>
      </w:r>
      <w:r w:rsidR="00D3513E">
        <w:rPr>
          <w:rFonts w:cs="Times New Roman"/>
          <w:lang w:val="en-US"/>
        </w:rPr>
        <w:t xml:space="preserve"> – </w:t>
      </w:r>
      <w:r w:rsidR="008448C0">
        <w:rPr>
          <w:rFonts w:cs="Times New Roman"/>
          <w:lang w:val="en-US"/>
        </w:rPr>
        <w:t xml:space="preserve">but also in the court of public opinion. </w:t>
      </w:r>
      <w:r w:rsidR="007608AD">
        <w:rPr>
          <w:rFonts w:cs="Times New Roman"/>
          <w:lang w:val="en-US"/>
        </w:rPr>
        <w:t xml:space="preserve"> </w:t>
      </w:r>
      <w:r w:rsidR="00C95BC9">
        <w:rPr>
          <w:rFonts w:cs="Times New Roman"/>
          <w:lang w:val="en-US"/>
        </w:rPr>
        <w:t>Since the Crimean War there had been a popular conviction</w:t>
      </w:r>
      <w:r w:rsidR="007608AD">
        <w:rPr>
          <w:rFonts w:cs="Times New Roman"/>
          <w:lang w:val="en-US"/>
        </w:rPr>
        <w:t xml:space="preserve"> both at home and abroad</w:t>
      </w:r>
      <w:r w:rsidR="00C95BC9">
        <w:rPr>
          <w:rFonts w:cs="Times New Roman"/>
          <w:lang w:val="en-US"/>
        </w:rPr>
        <w:t xml:space="preserve"> that </w:t>
      </w:r>
      <w:r w:rsidR="008448C0">
        <w:rPr>
          <w:rFonts w:cs="Times New Roman"/>
          <w:lang w:val="en-US"/>
        </w:rPr>
        <w:t xml:space="preserve">a ‘Near East’ </w:t>
      </w:r>
      <w:r w:rsidR="007608AD">
        <w:rPr>
          <w:rFonts w:cs="Times New Roman"/>
          <w:lang w:val="en-US"/>
        </w:rPr>
        <w:t xml:space="preserve">– a locution widely used in archaeology – </w:t>
      </w:r>
      <w:r w:rsidR="008448C0">
        <w:rPr>
          <w:rFonts w:cs="Times New Roman"/>
          <w:lang w:val="en-US"/>
        </w:rPr>
        <w:t>defined l</w:t>
      </w:r>
      <w:r w:rsidR="00C95BC9">
        <w:rPr>
          <w:rFonts w:cs="Times New Roman"/>
          <w:lang w:val="en-US"/>
        </w:rPr>
        <w:t>ands that were a natural part of the Ottoman Empire.  The</w:t>
      </w:r>
      <w:r w:rsidR="007608AD">
        <w:rPr>
          <w:rFonts w:cs="Times New Roman"/>
          <w:lang w:val="en-US"/>
        </w:rPr>
        <w:t xml:space="preserve"> British government artfully appropriated the new </w:t>
      </w:r>
      <w:r w:rsidR="00C95BC9">
        <w:rPr>
          <w:rFonts w:cs="Times New Roman"/>
          <w:lang w:val="en-US"/>
        </w:rPr>
        <w:t>‘</w:t>
      </w:r>
      <w:r w:rsidR="00C95BC9" w:rsidRPr="00AE5703">
        <w:rPr>
          <w:rFonts w:cs="Times New Roman"/>
          <w:lang w:val="en-US"/>
        </w:rPr>
        <w:t xml:space="preserve">Middle East’ </w:t>
      </w:r>
      <w:r w:rsidR="007608AD">
        <w:rPr>
          <w:rFonts w:cs="Times New Roman"/>
          <w:lang w:val="en-US"/>
        </w:rPr>
        <w:t>to redefine</w:t>
      </w:r>
      <w:r w:rsidR="00C95BC9">
        <w:rPr>
          <w:rFonts w:cs="Times New Roman"/>
          <w:lang w:val="en-US"/>
        </w:rPr>
        <w:t xml:space="preserve"> </w:t>
      </w:r>
      <w:r w:rsidR="00CA7A40">
        <w:rPr>
          <w:rFonts w:cs="Times New Roman"/>
          <w:lang w:val="en-US"/>
        </w:rPr>
        <w:t xml:space="preserve">them as lands </w:t>
      </w:r>
      <w:r w:rsidR="003875DF">
        <w:rPr>
          <w:rFonts w:cs="Times New Roman"/>
          <w:lang w:val="en-US"/>
        </w:rPr>
        <w:t xml:space="preserve">that had been </w:t>
      </w:r>
      <w:r w:rsidR="007608AD">
        <w:rPr>
          <w:rFonts w:cs="Times New Roman"/>
          <w:lang w:val="en-US"/>
        </w:rPr>
        <w:t>oppressed</w:t>
      </w:r>
      <w:r w:rsidR="000F6D61">
        <w:rPr>
          <w:rFonts w:cs="Times New Roman"/>
          <w:lang w:val="en-US"/>
        </w:rPr>
        <w:t>, enfeebled</w:t>
      </w:r>
      <w:r w:rsidR="007608AD">
        <w:rPr>
          <w:rFonts w:cs="Times New Roman"/>
          <w:lang w:val="en-US"/>
        </w:rPr>
        <w:t xml:space="preserve"> and impoverished by </w:t>
      </w:r>
      <w:r w:rsidR="003802EE">
        <w:rPr>
          <w:rFonts w:cs="Times New Roman"/>
          <w:lang w:val="en-US"/>
        </w:rPr>
        <w:t xml:space="preserve">centuries of </w:t>
      </w:r>
      <w:r w:rsidR="007608AD">
        <w:rPr>
          <w:rFonts w:cs="Times New Roman"/>
          <w:lang w:val="en-US"/>
        </w:rPr>
        <w:t xml:space="preserve">Ottoman despotism and misrule: ‘a landscape haunted by gallows, disease and famine.’ </w:t>
      </w:r>
      <w:r w:rsidR="007608AD">
        <w:rPr>
          <w:rStyle w:val="FootnoteReference"/>
          <w:rFonts w:cs="Times New Roman"/>
          <w:lang w:val="en-US"/>
        </w:rPr>
        <w:footnoteReference w:id="17"/>
      </w:r>
      <w:r w:rsidR="007608AD">
        <w:rPr>
          <w:rFonts w:cs="Times New Roman"/>
          <w:lang w:val="en-US"/>
        </w:rPr>
        <w:t xml:space="preserve"> </w:t>
      </w:r>
      <w:r w:rsidR="000F6D61">
        <w:rPr>
          <w:rFonts w:cs="Times New Roman"/>
          <w:lang w:val="en-US"/>
        </w:rPr>
        <w:t xml:space="preserve"> </w:t>
      </w:r>
      <w:r w:rsidR="00CA7A40">
        <w:rPr>
          <w:rFonts w:cs="Times New Roman"/>
          <w:lang w:val="en-US"/>
        </w:rPr>
        <w:t xml:space="preserve">The </w:t>
      </w:r>
      <w:r w:rsidR="00D231BE">
        <w:rPr>
          <w:rFonts w:cs="Times New Roman"/>
          <w:lang w:val="en-US"/>
        </w:rPr>
        <w:t xml:space="preserve">language </w:t>
      </w:r>
      <w:r w:rsidR="007608AD">
        <w:rPr>
          <w:rFonts w:cs="Times New Roman"/>
          <w:lang w:val="en-US"/>
        </w:rPr>
        <w:t xml:space="preserve">was </w:t>
      </w:r>
      <w:r w:rsidR="003875DF">
        <w:rPr>
          <w:rFonts w:cs="Times New Roman"/>
          <w:lang w:val="en-US"/>
        </w:rPr>
        <w:t xml:space="preserve">consistent </w:t>
      </w:r>
      <w:r w:rsidR="007608AD">
        <w:rPr>
          <w:rFonts w:cs="Times New Roman"/>
          <w:lang w:val="en-US"/>
        </w:rPr>
        <w:t xml:space="preserve">with the image of </w:t>
      </w:r>
      <w:r w:rsidR="003802EE">
        <w:rPr>
          <w:rFonts w:cs="Times New Roman"/>
          <w:lang w:val="en-US"/>
        </w:rPr>
        <w:t xml:space="preserve">the Ottoman Empire as a ‘sick man’ that had </w:t>
      </w:r>
      <w:r w:rsidR="00C739C4">
        <w:rPr>
          <w:rFonts w:cs="Times New Roman"/>
          <w:lang w:val="en-US"/>
        </w:rPr>
        <w:t>been steadily gaining</w:t>
      </w:r>
      <w:r w:rsidR="003802EE">
        <w:rPr>
          <w:rFonts w:cs="Times New Roman"/>
          <w:lang w:val="en-US"/>
        </w:rPr>
        <w:t xml:space="preserve"> ground since the 1860s (especially as the Ottoman Empire lost ground)</w:t>
      </w:r>
      <w:r w:rsidR="00C739C4">
        <w:rPr>
          <w:rFonts w:cs="Times New Roman"/>
          <w:lang w:val="en-US"/>
        </w:rPr>
        <w:t xml:space="preserve">, and it </w:t>
      </w:r>
      <w:r w:rsidR="00C71867">
        <w:rPr>
          <w:rFonts w:cs="Times New Roman"/>
          <w:lang w:val="en-US"/>
        </w:rPr>
        <w:t xml:space="preserve">lives on in </w:t>
      </w:r>
      <w:r w:rsidR="000F6D61">
        <w:rPr>
          <w:rFonts w:cs="Times New Roman"/>
          <w:lang w:val="en-US"/>
        </w:rPr>
        <w:t>the</w:t>
      </w:r>
      <w:r w:rsidR="00C739C4">
        <w:rPr>
          <w:rFonts w:cs="Times New Roman"/>
          <w:lang w:val="en-US"/>
        </w:rPr>
        <w:t xml:space="preserve"> </w:t>
      </w:r>
      <w:r w:rsidR="00F65568">
        <w:rPr>
          <w:rFonts w:cs="Times New Roman"/>
          <w:lang w:val="en-US"/>
        </w:rPr>
        <w:t xml:space="preserve">pathological and </w:t>
      </w:r>
      <w:r w:rsidR="00C71867">
        <w:rPr>
          <w:rFonts w:cs="Times New Roman"/>
          <w:lang w:val="en-US"/>
        </w:rPr>
        <w:t xml:space="preserve">even </w:t>
      </w:r>
      <w:r w:rsidR="00F65568">
        <w:rPr>
          <w:rFonts w:cs="Times New Roman"/>
          <w:lang w:val="en-US"/>
        </w:rPr>
        <w:t>bio-political</w:t>
      </w:r>
      <w:r w:rsidR="003802EE">
        <w:rPr>
          <w:rFonts w:cs="Times New Roman"/>
          <w:lang w:val="en-US"/>
        </w:rPr>
        <w:t xml:space="preserve"> imaginative geography of the </w:t>
      </w:r>
      <w:r w:rsidR="003875DF">
        <w:rPr>
          <w:rFonts w:cs="Times New Roman"/>
          <w:lang w:val="en-US"/>
        </w:rPr>
        <w:t xml:space="preserve">Middle East </w:t>
      </w:r>
      <w:r w:rsidR="003802EE">
        <w:rPr>
          <w:rFonts w:cs="Times New Roman"/>
          <w:lang w:val="en-US"/>
        </w:rPr>
        <w:t xml:space="preserve">as a place of dis-ease. </w:t>
      </w:r>
      <w:r w:rsidR="00F65568">
        <w:rPr>
          <w:rFonts w:cs="Times New Roman"/>
          <w:lang w:val="en-US"/>
        </w:rPr>
        <w:t xml:space="preserve"> Indeed, </w:t>
      </w:r>
      <w:r w:rsidR="00C739C4">
        <w:rPr>
          <w:rFonts w:cs="Times New Roman"/>
          <w:lang w:val="en-US"/>
        </w:rPr>
        <w:t xml:space="preserve">Sir Mark </w:t>
      </w:r>
      <w:r w:rsidR="00C95BC9" w:rsidRPr="00AE5703">
        <w:rPr>
          <w:rFonts w:cs="Times New Roman"/>
          <w:lang w:val="en-US"/>
        </w:rPr>
        <w:t>Sykes</w:t>
      </w:r>
      <w:r w:rsidR="00C739C4">
        <w:rPr>
          <w:rFonts w:cs="Times New Roman"/>
          <w:lang w:val="en-US"/>
        </w:rPr>
        <w:t xml:space="preserve">, the policy adviser who masterminded the publicity campaign for Lloyd George, </w:t>
      </w:r>
      <w:r w:rsidR="00C95BC9" w:rsidRPr="00AE5703">
        <w:rPr>
          <w:rFonts w:cs="Times New Roman"/>
          <w:lang w:val="en-US"/>
        </w:rPr>
        <w:t xml:space="preserve">subsequently called the </w:t>
      </w:r>
      <w:r w:rsidR="000F6D61">
        <w:rPr>
          <w:rFonts w:cs="Times New Roman"/>
          <w:lang w:val="en-US"/>
        </w:rPr>
        <w:t xml:space="preserve">military </w:t>
      </w:r>
      <w:r w:rsidR="00C95BC9" w:rsidRPr="00AE5703">
        <w:rPr>
          <w:rFonts w:cs="Times New Roman"/>
          <w:lang w:val="en-US"/>
        </w:rPr>
        <w:t>remedy</w:t>
      </w:r>
      <w:r w:rsidR="00C95BC9" w:rsidRPr="00AE5703">
        <w:rPr>
          <w:rFonts w:cs="Times New Roman"/>
          <w:b/>
          <w:bCs/>
          <w:lang w:val="en-US"/>
        </w:rPr>
        <w:t xml:space="preserve"> </w:t>
      </w:r>
      <w:r w:rsidR="00C95BC9" w:rsidRPr="00AE5703">
        <w:rPr>
          <w:rFonts w:cs="Times New Roman"/>
          <w:bCs/>
          <w:lang w:val="en-US"/>
        </w:rPr>
        <w:t>‘cutting out the cancer’</w:t>
      </w:r>
      <w:r w:rsidR="00C71867">
        <w:rPr>
          <w:rFonts w:cs="Times New Roman"/>
          <w:bCs/>
          <w:lang w:val="en-US"/>
        </w:rPr>
        <w:t xml:space="preserve">.  This startling </w:t>
      </w:r>
      <w:r w:rsidR="00C739C4">
        <w:rPr>
          <w:rFonts w:cs="Times New Roman"/>
          <w:bCs/>
          <w:lang w:val="en-US"/>
        </w:rPr>
        <w:t xml:space="preserve">affirmation of the restorative powers of conquest and colonialism </w:t>
      </w:r>
      <w:r w:rsidR="000F6D61">
        <w:rPr>
          <w:rFonts w:cs="Times New Roman"/>
          <w:lang w:val="en-US"/>
        </w:rPr>
        <w:t>reappears</w:t>
      </w:r>
      <w:r w:rsidR="00C739C4">
        <w:rPr>
          <w:rFonts w:cs="Times New Roman"/>
          <w:lang w:val="en-US"/>
        </w:rPr>
        <w:t xml:space="preserve"> </w:t>
      </w:r>
      <w:r w:rsidR="00F65568">
        <w:rPr>
          <w:rFonts w:cs="Times New Roman"/>
          <w:lang w:val="en-US"/>
        </w:rPr>
        <w:t>in the twenty-first century</w:t>
      </w:r>
      <w:r w:rsidR="00C739C4">
        <w:rPr>
          <w:rFonts w:cs="Times New Roman"/>
          <w:lang w:val="en-US"/>
        </w:rPr>
        <w:t xml:space="preserve"> metaphors o</w:t>
      </w:r>
      <w:r w:rsidR="00C71867">
        <w:rPr>
          <w:rFonts w:cs="Times New Roman"/>
          <w:lang w:val="en-US"/>
        </w:rPr>
        <w:t xml:space="preserve">f oncology and chemotherapy </w:t>
      </w:r>
      <w:r w:rsidR="003875DF">
        <w:rPr>
          <w:rFonts w:cs="Times New Roman"/>
          <w:lang w:val="en-US"/>
        </w:rPr>
        <w:t xml:space="preserve">that have been </w:t>
      </w:r>
      <w:r w:rsidR="00C71867">
        <w:rPr>
          <w:rFonts w:cs="Times New Roman"/>
          <w:lang w:val="en-US"/>
        </w:rPr>
        <w:t xml:space="preserve">deployed during the US-led invasions of Afghanistan in 2001 and Iraq in 2003, in which insurgency </w:t>
      </w:r>
      <w:r w:rsidR="006B3FBD">
        <w:rPr>
          <w:rFonts w:cs="Times New Roman"/>
          <w:lang w:val="en-US"/>
        </w:rPr>
        <w:t xml:space="preserve">is </w:t>
      </w:r>
      <w:r w:rsidR="00C71867">
        <w:rPr>
          <w:rFonts w:cs="Times New Roman"/>
          <w:lang w:val="en-US"/>
        </w:rPr>
        <w:t xml:space="preserve">described as </w:t>
      </w:r>
      <w:r w:rsidR="006B3FBD">
        <w:rPr>
          <w:rFonts w:cs="Times New Roman"/>
          <w:lang w:val="en-US"/>
        </w:rPr>
        <w:t>a cancer</w:t>
      </w:r>
      <w:r w:rsidR="00C71867">
        <w:rPr>
          <w:rFonts w:cs="Times New Roman"/>
          <w:lang w:val="en-US"/>
        </w:rPr>
        <w:t xml:space="preserve">, while counterinsurgency is rendered intrinsically therapeutic: killing cells in order to save the body politic. </w:t>
      </w:r>
      <w:r w:rsidR="00C71867">
        <w:rPr>
          <w:rStyle w:val="FootnoteReference"/>
          <w:rFonts w:cs="Times New Roman"/>
          <w:lang w:val="en-US"/>
        </w:rPr>
        <w:footnoteReference w:id="18"/>
      </w:r>
      <w:r w:rsidR="00C71867">
        <w:rPr>
          <w:rFonts w:cs="Times New Roman"/>
          <w:lang w:val="en-US"/>
        </w:rPr>
        <w:t xml:space="preserve"> </w:t>
      </w:r>
      <w:r w:rsidR="000F6D61">
        <w:rPr>
          <w:rFonts w:cs="Times New Roman"/>
          <w:lang w:val="en-US"/>
        </w:rPr>
        <w:t xml:space="preserve"> </w:t>
      </w:r>
    </w:p>
    <w:p w14:paraId="4C3F55BD" w14:textId="77777777" w:rsidR="00135089" w:rsidRDefault="00135089" w:rsidP="000F6D61">
      <w:pPr>
        <w:spacing w:line="360" w:lineRule="auto"/>
        <w:ind w:right="-7"/>
        <w:jc w:val="both"/>
        <w:rPr>
          <w:rFonts w:cs="Times New Roman"/>
          <w:lang w:val="en-US"/>
        </w:rPr>
      </w:pPr>
    </w:p>
    <w:p w14:paraId="0AD4D81D" w14:textId="330A7D65" w:rsidR="000F6D61" w:rsidRPr="00AE5703" w:rsidRDefault="000F6D61" w:rsidP="00135089">
      <w:pPr>
        <w:spacing w:line="360" w:lineRule="auto"/>
        <w:ind w:right="-7" w:firstLine="720"/>
        <w:jc w:val="both"/>
        <w:rPr>
          <w:rFonts w:cs="Times New Roman"/>
          <w:lang w:val="en-US"/>
        </w:rPr>
      </w:pPr>
      <w:r>
        <w:rPr>
          <w:rFonts w:cs="Times New Roman"/>
          <w:lang w:val="en-US"/>
        </w:rPr>
        <w:t xml:space="preserve">The First World War offered </w:t>
      </w:r>
      <w:r w:rsidR="00135089">
        <w:rPr>
          <w:rFonts w:cs="Times New Roman"/>
          <w:lang w:val="en-US"/>
        </w:rPr>
        <w:t xml:space="preserve">much </w:t>
      </w:r>
      <w:r>
        <w:rPr>
          <w:rFonts w:cs="Times New Roman"/>
          <w:lang w:val="en-US"/>
        </w:rPr>
        <w:t>less clinical consolation, but</w:t>
      </w:r>
      <w:r w:rsidR="009F7F82">
        <w:rPr>
          <w:rFonts w:cs="Times New Roman"/>
          <w:lang w:val="en-US"/>
        </w:rPr>
        <w:t xml:space="preserve"> these imaginative geographies encouraged the conceit that its eastern theatre was the stage for a </w:t>
      </w:r>
      <w:r>
        <w:rPr>
          <w:rFonts w:cs="Times New Roman"/>
          <w:lang w:val="en-US"/>
        </w:rPr>
        <w:t xml:space="preserve">war of liberation. </w:t>
      </w:r>
      <w:r w:rsidR="009F7F82">
        <w:rPr>
          <w:rFonts w:cs="Times New Roman"/>
          <w:lang w:val="en-US"/>
        </w:rPr>
        <w:t xml:space="preserve"> B</w:t>
      </w:r>
      <w:r w:rsidR="009F7F82" w:rsidRPr="00AE5703">
        <w:rPr>
          <w:rFonts w:cs="Times New Roman"/>
          <w:lang w:val="en-US"/>
        </w:rPr>
        <w:t>y the summer of 1916</w:t>
      </w:r>
      <w:r w:rsidR="009F7F82">
        <w:rPr>
          <w:rFonts w:cs="Times New Roman"/>
          <w:lang w:val="en-US"/>
        </w:rPr>
        <w:t>, as James Renton shows with admirable clarity,</w:t>
      </w:r>
      <w:r w:rsidR="009F7F82" w:rsidRPr="00AE5703">
        <w:rPr>
          <w:rFonts w:cs="Times New Roman"/>
          <w:lang w:val="en-US"/>
        </w:rPr>
        <w:t xml:space="preserve"> the </w:t>
      </w:r>
      <w:r w:rsidR="009F7F82">
        <w:rPr>
          <w:rFonts w:cs="Times New Roman"/>
          <w:lang w:val="en-US"/>
        </w:rPr>
        <w:t xml:space="preserve">new </w:t>
      </w:r>
      <w:r w:rsidR="009F7F82" w:rsidRPr="00AE5703">
        <w:rPr>
          <w:rFonts w:cs="Times New Roman"/>
          <w:lang w:val="en-US"/>
        </w:rPr>
        <w:t>concept of the ‘Middle East’ signified ‘a revived nationalized landscape between East and West</w:t>
      </w:r>
      <w:r w:rsidR="00135089">
        <w:rPr>
          <w:rFonts w:cs="Times New Roman"/>
          <w:lang w:val="en-US"/>
        </w:rPr>
        <w:t>,</w:t>
      </w:r>
      <w:r w:rsidR="009F7F82" w:rsidRPr="00AE5703">
        <w:rPr>
          <w:rFonts w:cs="Times New Roman"/>
          <w:lang w:val="en-US"/>
        </w:rPr>
        <w:t xml:space="preserve"> that was to be free from Ottoman despotism and would achieve redemption under Allied protection’. </w:t>
      </w:r>
      <w:r w:rsidR="009F7F82" w:rsidRPr="00AE5703">
        <w:rPr>
          <w:rStyle w:val="FootnoteReference"/>
          <w:rFonts w:cs="Times New Roman"/>
          <w:lang w:val="en-US"/>
        </w:rPr>
        <w:footnoteReference w:id="19"/>
      </w:r>
      <w:r w:rsidR="009F7F82" w:rsidRPr="00AE5703">
        <w:rPr>
          <w:rFonts w:cs="Times New Roman"/>
          <w:lang w:val="en-US"/>
        </w:rPr>
        <w:t xml:space="preserve">  </w:t>
      </w:r>
      <w:r w:rsidR="009F7F82">
        <w:rPr>
          <w:rFonts w:cs="Times New Roman"/>
          <w:lang w:val="en-US"/>
        </w:rPr>
        <w:t xml:space="preserve">In March 1917 Baghdad </w:t>
      </w:r>
      <w:r w:rsidR="00034180">
        <w:rPr>
          <w:rFonts w:cs="Times New Roman"/>
          <w:lang w:val="en-US"/>
        </w:rPr>
        <w:t xml:space="preserve">fell to British troops – most of them, significantly, dispatched from India </w:t>
      </w:r>
      <w:r w:rsidR="00034180">
        <w:rPr>
          <w:rStyle w:val="FootnoteReference"/>
          <w:rFonts w:cs="Times New Roman"/>
          <w:lang w:val="en-US"/>
        </w:rPr>
        <w:footnoteReference w:id="20"/>
      </w:r>
      <w:r w:rsidR="00034180">
        <w:rPr>
          <w:rFonts w:cs="Times New Roman"/>
          <w:lang w:val="en-US"/>
        </w:rPr>
        <w:t xml:space="preserve"> –</w:t>
      </w:r>
      <w:r w:rsidR="009F7F82">
        <w:rPr>
          <w:rFonts w:cs="Times New Roman"/>
          <w:lang w:val="en-US"/>
        </w:rPr>
        <w:t xml:space="preserve"> and </w:t>
      </w:r>
      <w:r w:rsidR="00135089">
        <w:rPr>
          <w:rFonts w:cs="Times New Roman"/>
          <w:lang w:val="en-US"/>
        </w:rPr>
        <w:t xml:space="preserve">Sykes drafted a proclamation </w:t>
      </w:r>
      <w:r w:rsidR="002701CB">
        <w:rPr>
          <w:rFonts w:cs="Times New Roman"/>
          <w:lang w:val="en-US"/>
        </w:rPr>
        <w:t xml:space="preserve">for </w:t>
      </w:r>
      <w:r w:rsidR="00135089">
        <w:rPr>
          <w:rFonts w:cs="Times New Roman"/>
          <w:lang w:val="en-US"/>
        </w:rPr>
        <w:t xml:space="preserve">Lt General Stanley Maude </w:t>
      </w:r>
      <w:r w:rsidR="00034180">
        <w:rPr>
          <w:rFonts w:cs="Times New Roman"/>
          <w:lang w:val="en-US"/>
        </w:rPr>
        <w:t xml:space="preserve">to </w:t>
      </w:r>
      <w:r w:rsidR="002701CB">
        <w:rPr>
          <w:rFonts w:cs="Times New Roman"/>
          <w:lang w:val="en-US"/>
        </w:rPr>
        <w:t xml:space="preserve">read to </w:t>
      </w:r>
      <w:r w:rsidR="00034180">
        <w:rPr>
          <w:rFonts w:cs="Times New Roman"/>
          <w:lang w:val="en-US"/>
        </w:rPr>
        <w:t xml:space="preserve">the inhabitants of </w:t>
      </w:r>
      <w:r w:rsidR="009F7F82">
        <w:rPr>
          <w:rFonts w:cs="Times New Roman"/>
          <w:lang w:val="en-US"/>
        </w:rPr>
        <w:t>the city</w:t>
      </w:r>
      <w:r w:rsidRPr="00AE5703">
        <w:rPr>
          <w:rFonts w:cs="Times New Roman"/>
          <w:lang w:val="en-US"/>
        </w:rPr>
        <w:t>:</w:t>
      </w:r>
    </w:p>
    <w:p w14:paraId="2273958C" w14:textId="77777777" w:rsidR="000F6D61" w:rsidRPr="00AE5703" w:rsidRDefault="000F6D61" w:rsidP="000F6D61">
      <w:pPr>
        <w:spacing w:line="360" w:lineRule="auto"/>
        <w:ind w:right="-7"/>
        <w:jc w:val="both"/>
        <w:rPr>
          <w:rFonts w:cs="Times New Roman"/>
          <w:lang w:val="en-US"/>
        </w:rPr>
      </w:pPr>
    </w:p>
    <w:p w14:paraId="2368C05D" w14:textId="1D5B9A3F" w:rsidR="00F65568" w:rsidRDefault="000F6D61" w:rsidP="000F6D61">
      <w:pPr>
        <w:spacing w:line="360" w:lineRule="auto"/>
        <w:ind w:right="-7"/>
        <w:jc w:val="both"/>
        <w:rPr>
          <w:rFonts w:cs="Times New Roman"/>
          <w:lang w:val="en-US"/>
        </w:rPr>
      </w:pPr>
      <w:r w:rsidRPr="00AE5703">
        <w:rPr>
          <w:rFonts w:cs="Times New Roman"/>
          <w:lang w:val="en-US"/>
        </w:rPr>
        <w:t xml:space="preserve">‘Our military operations have as their object the defeat of the enemy, and the driving of him from these territories. In order to complete this task, I am charged with absolute and supreme control of all regions in which British troops operate; but </w:t>
      </w:r>
      <w:r w:rsidRPr="00AE5703">
        <w:rPr>
          <w:rFonts w:cs="Times New Roman"/>
          <w:bCs/>
          <w:lang w:val="en-US"/>
        </w:rPr>
        <w:t>our armies do not come into your cities and lands as conquerors or enemies, but as liberators</w:t>
      </w:r>
      <w:r w:rsidRPr="00AE5703">
        <w:rPr>
          <w:rFonts w:cs="Times New Roman"/>
          <w:lang w:val="en-US"/>
        </w:rPr>
        <w:t>.’</w:t>
      </w:r>
      <w:r w:rsidR="00135089">
        <w:rPr>
          <w:rFonts w:cs="Times New Roman"/>
          <w:lang w:val="en-US"/>
        </w:rPr>
        <w:t xml:space="preserve"> </w:t>
      </w:r>
    </w:p>
    <w:p w14:paraId="4F3921DE" w14:textId="77777777" w:rsidR="00F65568" w:rsidRDefault="00F65568" w:rsidP="00135089">
      <w:pPr>
        <w:spacing w:line="360" w:lineRule="auto"/>
        <w:ind w:right="-7"/>
        <w:jc w:val="both"/>
        <w:rPr>
          <w:rFonts w:cs="Times New Roman"/>
          <w:lang w:val="en-US"/>
        </w:rPr>
      </w:pPr>
    </w:p>
    <w:p w14:paraId="2FE27B5D" w14:textId="3B1F8B13" w:rsidR="00053502" w:rsidRDefault="002701CB" w:rsidP="00865F3D">
      <w:pPr>
        <w:spacing w:line="360" w:lineRule="auto"/>
        <w:ind w:right="-7"/>
        <w:jc w:val="both"/>
        <w:rPr>
          <w:rFonts w:cs="Times New Roman"/>
          <w:lang w:val="en-US"/>
        </w:rPr>
      </w:pPr>
      <w:r>
        <w:rPr>
          <w:lang w:val="en-US"/>
        </w:rPr>
        <w:t xml:space="preserve">One can hear echoes of this too </w:t>
      </w:r>
      <w:r w:rsidR="006B7A02">
        <w:rPr>
          <w:lang w:val="en-US"/>
        </w:rPr>
        <w:t>in</w:t>
      </w:r>
      <w:r w:rsidR="003875DF">
        <w:rPr>
          <w:lang w:val="en-US"/>
        </w:rPr>
        <w:t xml:space="preserve"> the </w:t>
      </w:r>
      <w:r w:rsidR="006B7A02">
        <w:rPr>
          <w:lang w:val="en-US"/>
        </w:rPr>
        <w:t>rhetor</w:t>
      </w:r>
      <w:r w:rsidR="003875DF">
        <w:rPr>
          <w:lang w:val="en-US"/>
        </w:rPr>
        <w:t xml:space="preserve">ic of ‘Operation Iraqi Freedom’.  </w:t>
      </w:r>
      <w:r w:rsidR="00135089">
        <w:rPr>
          <w:lang w:val="en-US"/>
        </w:rPr>
        <w:t xml:space="preserve">The proclamation </w:t>
      </w:r>
      <w:r w:rsidR="00034180">
        <w:rPr>
          <w:lang w:val="en-US"/>
        </w:rPr>
        <w:t xml:space="preserve">also </w:t>
      </w:r>
      <w:r w:rsidR="006B3FBD">
        <w:rPr>
          <w:lang w:val="en-US"/>
        </w:rPr>
        <w:t>re</w:t>
      </w:r>
      <w:r w:rsidR="00135089">
        <w:rPr>
          <w:lang w:val="en-US"/>
        </w:rPr>
        <w:t>affirmed t</w:t>
      </w:r>
      <w:r w:rsidR="006B3FBD">
        <w:rPr>
          <w:lang w:val="en-US"/>
        </w:rPr>
        <w:t>he importance of commercial interests</w:t>
      </w:r>
      <w:r w:rsidR="00135089">
        <w:rPr>
          <w:lang w:val="en-US"/>
        </w:rPr>
        <w:t xml:space="preserve"> – ‘f</w:t>
      </w:r>
      <w:r w:rsidR="00135089" w:rsidRPr="00135089">
        <w:rPr>
          <w:lang w:val="en-US"/>
        </w:rPr>
        <w:t>or 200 years have the merchants of Baghdad and Great Britain traded together in mutual profit and friendship</w:t>
      </w:r>
      <w:r w:rsidR="00135089">
        <w:rPr>
          <w:lang w:val="en-US"/>
        </w:rPr>
        <w:t xml:space="preserve">’– </w:t>
      </w:r>
      <w:r w:rsidR="006B3FBD">
        <w:rPr>
          <w:lang w:val="en-US"/>
        </w:rPr>
        <w:t>that were not altogether foreign to the later Ameri</w:t>
      </w:r>
      <w:r w:rsidR="00382BFA">
        <w:rPr>
          <w:lang w:val="en-US"/>
        </w:rPr>
        <w:t xml:space="preserve">can mission. A recurring </w:t>
      </w:r>
      <w:r w:rsidR="00135089">
        <w:rPr>
          <w:lang w:val="en-US"/>
        </w:rPr>
        <w:t xml:space="preserve">emphasis </w:t>
      </w:r>
      <w:r w:rsidR="006B3FBD">
        <w:rPr>
          <w:lang w:val="en-US"/>
        </w:rPr>
        <w:t xml:space="preserve">throughout the </w:t>
      </w:r>
      <w:r w:rsidR="00E37C50">
        <w:rPr>
          <w:lang w:val="en-US"/>
        </w:rPr>
        <w:t xml:space="preserve">British </w:t>
      </w:r>
      <w:r>
        <w:rPr>
          <w:lang w:val="en-US"/>
        </w:rPr>
        <w:t xml:space="preserve">campaign and the attendant </w:t>
      </w:r>
      <w:r w:rsidR="0086381F">
        <w:rPr>
          <w:lang w:val="en-US"/>
        </w:rPr>
        <w:t xml:space="preserve">diplomatic </w:t>
      </w:r>
      <w:r w:rsidR="006B3FBD">
        <w:rPr>
          <w:lang w:val="en-US"/>
        </w:rPr>
        <w:t xml:space="preserve">negotiations </w:t>
      </w:r>
      <w:r w:rsidR="00135089">
        <w:rPr>
          <w:lang w:val="en-US"/>
        </w:rPr>
        <w:t xml:space="preserve">was </w:t>
      </w:r>
      <w:r w:rsidR="0086381F">
        <w:rPr>
          <w:lang w:val="en-US"/>
        </w:rPr>
        <w:t xml:space="preserve">the </w:t>
      </w:r>
      <w:r w:rsidR="00A96668">
        <w:rPr>
          <w:lang w:val="en-US"/>
        </w:rPr>
        <w:t>renaissance of Arab nations that had been sup</w:t>
      </w:r>
      <w:r w:rsidR="00382BFA">
        <w:rPr>
          <w:lang w:val="en-US"/>
        </w:rPr>
        <w:t>p</w:t>
      </w:r>
      <w:r w:rsidR="00A96668">
        <w:rPr>
          <w:lang w:val="en-US"/>
        </w:rPr>
        <w:t xml:space="preserve">ressed by Ottoman domination.  </w:t>
      </w:r>
      <w:r w:rsidR="0086381F">
        <w:rPr>
          <w:lang w:val="en-US"/>
        </w:rPr>
        <w:t>Britain’s commitment to the</w:t>
      </w:r>
      <w:r w:rsidR="00382BFA">
        <w:rPr>
          <w:lang w:val="en-US"/>
        </w:rPr>
        <w:t>ir</w:t>
      </w:r>
      <w:r w:rsidR="0086381F">
        <w:rPr>
          <w:lang w:val="en-US"/>
        </w:rPr>
        <w:t xml:space="preserve"> </w:t>
      </w:r>
      <w:r w:rsidR="00382BFA">
        <w:rPr>
          <w:lang w:val="en-US"/>
        </w:rPr>
        <w:t xml:space="preserve">revival </w:t>
      </w:r>
      <w:r w:rsidR="0086381F">
        <w:rPr>
          <w:lang w:val="en-US"/>
        </w:rPr>
        <w:t xml:space="preserve">was </w:t>
      </w:r>
      <w:r w:rsidR="00865F3D">
        <w:rPr>
          <w:lang w:val="en-US"/>
        </w:rPr>
        <w:t xml:space="preserve">supposed to be </w:t>
      </w:r>
      <w:r w:rsidR="00E37C50">
        <w:rPr>
          <w:lang w:val="en-US"/>
        </w:rPr>
        <w:t>evidenced by</w:t>
      </w:r>
      <w:r w:rsidR="00135089">
        <w:rPr>
          <w:lang w:val="en-US"/>
        </w:rPr>
        <w:t xml:space="preserve"> </w:t>
      </w:r>
      <w:r w:rsidR="0086381F">
        <w:rPr>
          <w:lang w:val="en-US"/>
        </w:rPr>
        <w:t xml:space="preserve">its </w:t>
      </w:r>
      <w:r w:rsidR="00135089">
        <w:rPr>
          <w:lang w:val="en-US"/>
        </w:rPr>
        <w:t xml:space="preserve">support for the Arab </w:t>
      </w:r>
      <w:r w:rsidR="008C4A07">
        <w:rPr>
          <w:lang w:val="en-US"/>
        </w:rPr>
        <w:t>Revolt against the Turks in 1916-18</w:t>
      </w:r>
      <w:r w:rsidR="00135089">
        <w:rPr>
          <w:lang w:val="en-US"/>
        </w:rPr>
        <w:t xml:space="preserve">, </w:t>
      </w:r>
      <w:r w:rsidR="00865F3D">
        <w:rPr>
          <w:lang w:val="en-US"/>
        </w:rPr>
        <w:t>but the secret agreement that Sykes had concluded on behalf of Britain with French diplomat François–George Picot</w:t>
      </w:r>
      <w:r w:rsidR="008C4A07">
        <w:rPr>
          <w:lang w:val="en-US"/>
        </w:rPr>
        <w:t xml:space="preserve"> in 1916</w:t>
      </w:r>
      <w:r w:rsidR="00865F3D">
        <w:rPr>
          <w:lang w:val="en-US"/>
        </w:rPr>
        <w:t xml:space="preserve">, </w:t>
      </w:r>
      <w:r w:rsidR="008C4A07">
        <w:rPr>
          <w:lang w:val="en-US"/>
        </w:rPr>
        <w:t xml:space="preserve">dividing </w:t>
      </w:r>
      <w:r w:rsidR="00865F3D">
        <w:rPr>
          <w:lang w:val="en-US"/>
        </w:rPr>
        <w:t>the post-Ottoman world into separate British and French spheres of control, showed that the appeal to self-determination was an illusion.</w:t>
      </w:r>
      <w:r w:rsidR="00622352">
        <w:rPr>
          <w:lang w:val="en-US"/>
        </w:rPr>
        <w:t xml:space="preserve"> </w:t>
      </w:r>
      <w:r w:rsidR="00034180">
        <w:rPr>
          <w:lang w:val="en-US"/>
        </w:rPr>
        <w:t xml:space="preserve"> </w:t>
      </w:r>
      <w:r w:rsidR="0086381F">
        <w:rPr>
          <w:lang w:val="en-US"/>
        </w:rPr>
        <w:t xml:space="preserve">Nationalism was used as a justification for imperialism, and </w:t>
      </w:r>
      <w:r w:rsidR="00034180">
        <w:rPr>
          <w:lang w:val="en-US"/>
        </w:rPr>
        <w:t xml:space="preserve">Allied ‘protection’ meant, at best, Allied tutelage. </w:t>
      </w:r>
      <w:r w:rsidR="00622352">
        <w:rPr>
          <w:rStyle w:val="FootnoteReference"/>
          <w:lang w:val="en-US"/>
        </w:rPr>
        <w:footnoteReference w:id="21"/>
      </w:r>
    </w:p>
    <w:p w14:paraId="001DE663" w14:textId="77777777" w:rsidR="00053502" w:rsidRDefault="00053502" w:rsidP="002701CB">
      <w:pPr>
        <w:spacing w:line="360" w:lineRule="auto"/>
        <w:ind w:right="-7"/>
        <w:jc w:val="both"/>
        <w:rPr>
          <w:rFonts w:cs="Times New Roman"/>
          <w:lang w:val="en-US"/>
        </w:rPr>
      </w:pPr>
    </w:p>
    <w:p w14:paraId="442738DC" w14:textId="2FBD2B69" w:rsidR="002701CB" w:rsidRDefault="002701CB" w:rsidP="002701CB">
      <w:pPr>
        <w:spacing w:line="360" w:lineRule="auto"/>
        <w:ind w:right="-7"/>
        <w:jc w:val="center"/>
        <w:rPr>
          <w:rFonts w:cs="Times New Roman"/>
          <w:lang w:val="en-US"/>
        </w:rPr>
      </w:pPr>
      <w:r>
        <w:rPr>
          <w:rFonts w:cs="Times New Roman"/>
          <w:lang w:val="en-US"/>
        </w:rPr>
        <w:t>* * *</w:t>
      </w:r>
    </w:p>
    <w:p w14:paraId="5BBE5F8F" w14:textId="29435E04" w:rsidR="00847F49" w:rsidRPr="00847F49" w:rsidRDefault="00791B19" w:rsidP="00847F49">
      <w:pPr>
        <w:spacing w:line="360" w:lineRule="auto"/>
        <w:ind w:right="-7" w:firstLine="720"/>
        <w:jc w:val="both"/>
      </w:pPr>
      <w:r w:rsidRPr="00AE5703">
        <w:rPr>
          <w:rFonts w:cs="Times New Roman"/>
        </w:rPr>
        <w:t>The region was re-de</w:t>
      </w:r>
      <w:r w:rsidR="00450D29">
        <w:rPr>
          <w:rFonts w:cs="Times New Roman"/>
        </w:rPr>
        <w:t>fined after the First World War with</w:t>
      </w:r>
      <w:r w:rsidRPr="00AE5703">
        <w:rPr>
          <w:rFonts w:cs="Times New Roman"/>
        </w:rPr>
        <w:t xml:space="preserve"> the</w:t>
      </w:r>
      <w:r w:rsidR="00450D29">
        <w:rPr>
          <w:rFonts w:cs="Times New Roman"/>
        </w:rPr>
        <w:t xml:space="preserve"> collapse of the Ottoman Empire</w:t>
      </w:r>
      <w:r w:rsidRPr="00AE5703">
        <w:rPr>
          <w:rFonts w:cs="Times New Roman"/>
        </w:rPr>
        <w:t xml:space="preserve"> and the attempt by the Great Powers to divide most of the spoils between them, but it retained its strategic inflection and gained geo-economic significance </w:t>
      </w:r>
      <w:r w:rsidR="00450D29">
        <w:rPr>
          <w:rFonts w:cs="Times New Roman"/>
        </w:rPr>
        <w:t xml:space="preserve">through </w:t>
      </w:r>
      <w:r w:rsidRPr="00AE5703">
        <w:rPr>
          <w:rFonts w:cs="Times New Roman"/>
        </w:rPr>
        <w:t xml:space="preserve">the importance of oil (at first as the basis for naval supremacy). </w:t>
      </w:r>
      <w:r w:rsidR="00B01E12">
        <w:rPr>
          <w:rStyle w:val="FootnoteReference"/>
          <w:rFonts w:cs="Times New Roman"/>
        </w:rPr>
        <w:footnoteReference w:id="22"/>
      </w:r>
      <w:r w:rsidRPr="00AE5703">
        <w:rPr>
          <w:rFonts w:cs="Times New Roman"/>
        </w:rPr>
        <w:t xml:space="preserve"> </w:t>
      </w:r>
      <w:r w:rsidR="00450D29">
        <w:rPr>
          <w:rFonts w:cs="Times New Roman"/>
        </w:rPr>
        <w:t xml:space="preserve"> </w:t>
      </w:r>
      <w:r w:rsidRPr="00AE5703">
        <w:rPr>
          <w:rFonts w:cs="Times New Roman"/>
        </w:rPr>
        <w:t xml:space="preserve">The </w:t>
      </w:r>
      <w:r w:rsidR="00450D29">
        <w:rPr>
          <w:rFonts w:cs="Times New Roman"/>
        </w:rPr>
        <w:t xml:space="preserve">principal </w:t>
      </w:r>
      <w:r w:rsidRPr="00AE5703">
        <w:rPr>
          <w:rFonts w:cs="Times New Roman"/>
        </w:rPr>
        <w:t xml:space="preserve">European powers drew new lines on the map to create new </w:t>
      </w:r>
      <w:r w:rsidR="00450D29">
        <w:rPr>
          <w:rFonts w:cs="Times New Roman"/>
        </w:rPr>
        <w:t xml:space="preserve">(client) </w:t>
      </w:r>
      <w:r w:rsidRPr="00AE5703">
        <w:rPr>
          <w:rFonts w:cs="Times New Roman"/>
        </w:rPr>
        <w:t>states</w:t>
      </w:r>
      <w:r w:rsidR="006B7A02">
        <w:rPr>
          <w:rFonts w:cs="Times New Roman"/>
        </w:rPr>
        <w:t xml:space="preserve">, </w:t>
      </w:r>
      <w:r w:rsidR="00A96668">
        <w:rPr>
          <w:rFonts w:cs="Times New Roman"/>
        </w:rPr>
        <w:t xml:space="preserve">replacing one set of colonial relations with others, </w:t>
      </w:r>
      <w:r w:rsidR="006B7A02">
        <w:rPr>
          <w:rFonts w:cs="Times New Roman"/>
        </w:rPr>
        <w:t>and i</w:t>
      </w:r>
      <w:r w:rsidRPr="00AE5703">
        <w:rPr>
          <w:rFonts w:cs="Times New Roman"/>
        </w:rPr>
        <w:t>n 1921 Churchill created a Middle East Department in the Colonial Office whose area of responsibility was Iraq, Palestine, Transjordan and Aden</w:t>
      </w:r>
      <w:r w:rsidR="008F56E5" w:rsidRPr="00AE5703">
        <w:rPr>
          <w:rFonts w:cs="Times New Roman"/>
        </w:rPr>
        <w:t xml:space="preserve">. </w:t>
      </w:r>
      <w:r w:rsidR="006B7A02">
        <w:rPr>
          <w:rFonts w:cs="Times New Roman"/>
        </w:rPr>
        <w:t xml:space="preserve"> </w:t>
      </w:r>
      <w:r w:rsidR="008C4A07">
        <w:rPr>
          <w:rFonts w:cs="Times New Roman"/>
        </w:rPr>
        <w:t>The</w:t>
      </w:r>
      <w:r w:rsidR="00CB7DB3">
        <w:rPr>
          <w:rFonts w:cs="Times New Roman"/>
        </w:rPr>
        <w:t xml:space="preserve"> </w:t>
      </w:r>
      <w:r w:rsidR="00A96668">
        <w:rPr>
          <w:rFonts w:cs="Times New Roman"/>
        </w:rPr>
        <w:t xml:space="preserve">new colonial geography </w:t>
      </w:r>
      <w:r w:rsidR="00450D29">
        <w:rPr>
          <w:rFonts w:cs="Times New Roman"/>
        </w:rPr>
        <w:t>continued to be enforc</w:t>
      </w:r>
      <w:r w:rsidR="00AB72E5">
        <w:rPr>
          <w:rFonts w:cs="Times New Roman"/>
        </w:rPr>
        <w:t>ed through military violence</w:t>
      </w:r>
      <w:r w:rsidR="008C4A07">
        <w:rPr>
          <w:rFonts w:cs="Times New Roman"/>
        </w:rPr>
        <w:t xml:space="preserve"> but this now assumed new forms as t</w:t>
      </w:r>
      <w:r w:rsidR="00A96668">
        <w:rPr>
          <w:rFonts w:cs="Times New Roman"/>
        </w:rPr>
        <w:t xml:space="preserve">he </w:t>
      </w:r>
      <w:r w:rsidR="00F915EC">
        <w:rPr>
          <w:rFonts w:cs="Times New Roman"/>
        </w:rPr>
        <w:t xml:space="preserve">Middle East </w:t>
      </w:r>
      <w:r w:rsidR="006F3BCC">
        <w:rPr>
          <w:rFonts w:cs="Times New Roman"/>
        </w:rPr>
        <w:t xml:space="preserve">became </w:t>
      </w:r>
      <w:r w:rsidR="00CB7DB3">
        <w:rPr>
          <w:rFonts w:cs="Times New Roman"/>
        </w:rPr>
        <w:t>a central</w:t>
      </w:r>
      <w:r w:rsidR="00F915EC">
        <w:rPr>
          <w:rFonts w:cs="Times New Roman"/>
        </w:rPr>
        <w:t xml:space="preserve"> laboratory</w:t>
      </w:r>
      <w:r w:rsidR="00A96668">
        <w:rPr>
          <w:rFonts w:cs="Times New Roman"/>
        </w:rPr>
        <w:t xml:space="preserve">, along with </w:t>
      </w:r>
      <w:r w:rsidR="004A3FDE">
        <w:rPr>
          <w:rFonts w:cs="Times New Roman"/>
        </w:rPr>
        <w:t xml:space="preserve">others in </w:t>
      </w:r>
      <w:r w:rsidR="00A96668">
        <w:rPr>
          <w:rFonts w:cs="Times New Roman"/>
        </w:rPr>
        <w:t>North and East Africa,</w:t>
      </w:r>
      <w:r w:rsidR="004A3FDE">
        <w:rPr>
          <w:rFonts w:cs="Times New Roman"/>
        </w:rPr>
        <w:t xml:space="preserve"> </w:t>
      </w:r>
      <w:r w:rsidR="002701CB">
        <w:rPr>
          <w:rFonts w:cs="Times New Roman"/>
        </w:rPr>
        <w:t xml:space="preserve">in which, as Khalidi observes, </w:t>
      </w:r>
      <w:r w:rsidR="004A3FDE">
        <w:rPr>
          <w:rFonts w:cs="Times New Roman"/>
        </w:rPr>
        <w:t>‘t</w:t>
      </w:r>
      <w:r w:rsidR="00450D29" w:rsidRPr="00847F49">
        <w:t xml:space="preserve">he military high-technology of the post-World War One era was first tried out, and where the textbook on the aerial bombardment of civilians was written.’ </w:t>
      </w:r>
      <w:r w:rsidR="00450D29" w:rsidRPr="00847F49">
        <w:rPr>
          <w:vertAlign w:val="superscript"/>
        </w:rPr>
        <w:footnoteReference w:id="23"/>
      </w:r>
      <w:r w:rsidR="00450D29" w:rsidRPr="00847F49">
        <w:t xml:space="preserve"> </w:t>
      </w:r>
      <w:r w:rsidR="006F3BCC">
        <w:rPr>
          <w:rFonts w:cs="Times New Roman"/>
        </w:rPr>
        <w:t xml:space="preserve"> </w:t>
      </w:r>
      <w:r w:rsidR="00F915EC">
        <w:rPr>
          <w:rFonts w:cs="Times New Roman"/>
        </w:rPr>
        <w:t xml:space="preserve"> British </w:t>
      </w:r>
      <w:r w:rsidR="008C4A07">
        <w:rPr>
          <w:rFonts w:cs="Times New Roman"/>
        </w:rPr>
        <w:t xml:space="preserve">colonial </w:t>
      </w:r>
      <w:r w:rsidR="001714C4">
        <w:rPr>
          <w:rFonts w:cs="Times New Roman"/>
        </w:rPr>
        <w:t xml:space="preserve">dominion became uniquely </w:t>
      </w:r>
      <w:r w:rsidR="00A96668">
        <w:rPr>
          <w:rFonts w:cs="Times New Roman"/>
        </w:rPr>
        <w:t xml:space="preserve">dependent </w:t>
      </w:r>
      <w:r w:rsidR="00F915EC">
        <w:rPr>
          <w:rFonts w:cs="Times New Roman"/>
        </w:rPr>
        <w:t xml:space="preserve">on ‘air control’ or ‘air policing’, and </w:t>
      </w:r>
      <w:r w:rsidR="008C4A07">
        <w:rPr>
          <w:rFonts w:cs="Times New Roman"/>
        </w:rPr>
        <w:t xml:space="preserve">in the 1920s and 30s </w:t>
      </w:r>
      <w:r w:rsidR="00CB7DB3">
        <w:rPr>
          <w:rFonts w:cs="Times New Roman"/>
        </w:rPr>
        <w:t xml:space="preserve">its squadrons </w:t>
      </w:r>
      <w:r w:rsidR="002701CB">
        <w:rPr>
          <w:rFonts w:cs="Times New Roman"/>
        </w:rPr>
        <w:t xml:space="preserve">conducted repeated bombing missions </w:t>
      </w:r>
      <w:r w:rsidR="008C4A07">
        <w:rPr>
          <w:rFonts w:cs="Times New Roman"/>
        </w:rPr>
        <w:t xml:space="preserve">along </w:t>
      </w:r>
      <w:r w:rsidR="00F915EC">
        <w:rPr>
          <w:rFonts w:cs="Times New Roman"/>
        </w:rPr>
        <w:t xml:space="preserve">India’s </w:t>
      </w:r>
      <w:r w:rsidR="006F3BCC">
        <w:rPr>
          <w:rFonts w:cs="Times New Roman"/>
        </w:rPr>
        <w:t>North</w:t>
      </w:r>
      <w:r w:rsidR="00F915EC">
        <w:rPr>
          <w:rFonts w:cs="Times New Roman"/>
        </w:rPr>
        <w:t xml:space="preserve">-West Frontier with Afghanistan, in </w:t>
      </w:r>
      <w:r w:rsidR="006F3BCC">
        <w:rPr>
          <w:rFonts w:cs="Times New Roman"/>
        </w:rPr>
        <w:t>Mesopotam</w:t>
      </w:r>
      <w:r w:rsidR="00FA13A9">
        <w:rPr>
          <w:rFonts w:cs="Times New Roman"/>
        </w:rPr>
        <w:t xml:space="preserve">ia </w:t>
      </w:r>
      <w:r w:rsidR="00F915EC">
        <w:rPr>
          <w:rFonts w:cs="Times New Roman"/>
        </w:rPr>
        <w:t xml:space="preserve">and in Palestine. </w:t>
      </w:r>
      <w:r w:rsidR="00CB7DB3">
        <w:rPr>
          <w:rStyle w:val="FootnoteReference"/>
          <w:rFonts w:cs="Times New Roman"/>
        </w:rPr>
        <w:footnoteReference w:id="24"/>
      </w:r>
      <w:r w:rsidR="00F915EC">
        <w:rPr>
          <w:rFonts w:cs="Times New Roman"/>
        </w:rPr>
        <w:t xml:space="preserve"> </w:t>
      </w:r>
      <w:r w:rsidR="00CB7DB3">
        <w:rPr>
          <w:rFonts w:cs="Times New Roman"/>
        </w:rPr>
        <w:t xml:space="preserve"> </w:t>
      </w:r>
      <w:r w:rsidR="00F915EC">
        <w:t xml:space="preserve">These campaigns </w:t>
      </w:r>
      <w:r w:rsidR="008C4A07">
        <w:t xml:space="preserve">depended on three </w:t>
      </w:r>
      <w:r w:rsidR="00847F49" w:rsidRPr="00847F49">
        <w:t>assertions.  The first was that they were cost-effective: that it would be extraordinarily difficult to assert colonial authority over these vast spaces by ground forces, and the trackless deserts o</w:t>
      </w:r>
      <w:r w:rsidR="004A3FDE">
        <w:t xml:space="preserve">f the Middle East </w:t>
      </w:r>
      <w:r w:rsidR="00847F49" w:rsidRPr="00847F49">
        <w:t>were</w:t>
      </w:r>
      <w:r w:rsidR="00F915EC">
        <w:t xml:space="preserve"> supposedly </w:t>
      </w:r>
      <w:r w:rsidR="004A3FDE">
        <w:t xml:space="preserve">ideal for air </w:t>
      </w:r>
      <w:r w:rsidR="00847F49" w:rsidRPr="00847F49">
        <w:t>control.</w:t>
      </w:r>
      <w:r w:rsidR="004A3FDE">
        <w:t xml:space="preserve"> </w:t>
      </w:r>
      <w:r w:rsidR="004A3FDE">
        <w:rPr>
          <w:rStyle w:val="FootnoteReference"/>
        </w:rPr>
        <w:footnoteReference w:id="25"/>
      </w:r>
      <w:r w:rsidR="00847F49" w:rsidRPr="00847F49">
        <w:t xml:space="preserve">  The second was that colonial populations were peculiarly susceptible to </w:t>
      </w:r>
      <w:r w:rsidR="008C4A07">
        <w:t xml:space="preserve">the </w:t>
      </w:r>
      <w:r w:rsidR="00847F49" w:rsidRPr="00847F49">
        <w:t>power of bombing from the air, because they had no comprehension of its technical basis and so viewed it as divine retri</w:t>
      </w:r>
      <w:r w:rsidR="004A3FDE">
        <w:t>bution.  The third was that air strikes</w:t>
      </w:r>
      <w:r w:rsidR="00847F49" w:rsidRPr="00847F49">
        <w:t xml:space="preserve"> were more humane than conventional measures involving troops and artillery, and the Royal Air Force rejected the charge that </w:t>
      </w:r>
      <w:r w:rsidR="004A3FDE">
        <w:t xml:space="preserve">in the Middle East it was conducting </w:t>
      </w:r>
      <w:r w:rsidR="00847F49" w:rsidRPr="00847F49">
        <w:t>‘bloody and remorseless attacks against defenceless natives’ (though it failed to explain how they could have defended themselves).</w:t>
      </w:r>
      <w:r w:rsidR="00F915EC">
        <w:t xml:space="preserve"> </w:t>
      </w:r>
      <w:r w:rsidR="00847F49" w:rsidRPr="00847F49">
        <w:rPr>
          <w:vertAlign w:val="superscript"/>
        </w:rPr>
        <w:footnoteReference w:id="26"/>
      </w:r>
      <w:r w:rsidR="00847F49" w:rsidRPr="00847F49">
        <w:t xml:space="preserve"> </w:t>
      </w:r>
    </w:p>
    <w:p w14:paraId="345D3FF4" w14:textId="77777777" w:rsidR="006B7A02" w:rsidRDefault="006B7A02" w:rsidP="006F3BCC">
      <w:pPr>
        <w:spacing w:line="360" w:lineRule="auto"/>
        <w:ind w:right="-7"/>
        <w:jc w:val="both"/>
        <w:rPr>
          <w:rFonts w:cs="Times New Roman"/>
        </w:rPr>
      </w:pPr>
    </w:p>
    <w:p w14:paraId="4AB50A1B" w14:textId="49054F9D" w:rsidR="006F3BCC" w:rsidRDefault="00865F3D" w:rsidP="006B7A02">
      <w:pPr>
        <w:spacing w:line="360" w:lineRule="auto"/>
        <w:ind w:right="-7" w:firstLine="720"/>
        <w:jc w:val="both"/>
        <w:rPr>
          <w:rFonts w:cs="Times New Roman"/>
        </w:rPr>
      </w:pPr>
      <w:r>
        <w:rPr>
          <w:lang w:val="en-US"/>
        </w:rPr>
        <w:t>T</w:t>
      </w:r>
      <w:r w:rsidR="00AB72E5">
        <w:rPr>
          <w:lang w:val="en-US"/>
        </w:rPr>
        <w:t xml:space="preserve">o consolidate </w:t>
      </w:r>
      <w:r w:rsidR="008C4A07">
        <w:rPr>
          <w:lang w:val="en-US"/>
        </w:rPr>
        <w:t>its</w:t>
      </w:r>
      <w:r w:rsidR="00CE4D1B">
        <w:rPr>
          <w:lang w:val="en-US"/>
        </w:rPr>
        <w:t xml:space="preserve"> </w:t>
      </w:r>
      <w:r w:rsidR="00AB72E5">
        <w:rPr>
          <w:lang w:val="en-US"/>
        </w:rPr>
        <w:t>operations t</w:t>
      </w:r>
      <w:r>
        <w:rPr>
          <w:lang w:val="en-US"/>
        </w:rPr>
        <w:t xml:space="preserve">he Royal Air Force established a Middle East Command in 1932, </w:t>
      </w:r>
      <w:r w:rsidR="00CE4D1B">
        <w:rPr>
          <w:lang w:val="en-US"/>
        </w:rPr>
        <w:t xml:space="preserve">which was </w:t>
      </w:r>
      <w:r>
        <w:rPr>
          <w:lang w:val="en-US"/>
        </w:rPr>
        <w:t xml:space="preserve">originally </w:t>
      </w:r>
      <w:r w:rsidR="002701CB">
        <w:rPr>
          <w:lang w:val="en-US"/>
        </w:rPr>
        <w:t xml:space="preserve">confined </w:t>
      </w:r>
      <w:r w:rsidR="00CE4D1B">
        <w:rPr>
          <w:lang w:val="en-US"/>
        </w:rPr>
        <w:t xml:space="preserve">to Egypt, Sudan and Kenya and </w:t>
      </w:r>
      <w:r>
        <w:rPr>
          <w:lang w:val="en-US"/>
        </w:rPr>
        <w:t xml:space="preserve">enlarged in 1938 to include </w:t>
      </w:r>
      <w:r w:rsidR="001714C4">
        <w:rPr>
          <w:lang w:val="en-US"/>
        </w:rPr>
        <w:t xml:space="preserve">squadrons in </w:t>
      </w:r>
      <w:r>
        <w:rPr>
          <w:lang w:val="en-US"/>
        </w:rPr>
        <w:t xml:space="preserve">Palestine, Transjordan, Iraq, Aden and Malta.  The British Army established its </w:t>
      </w:r>
      <w:r w:rsidR="001714C4">
        <w:rPr>
          <w:lang w:val="en-US"/>
        </w:rPr>
        <w:t xml:space="preserve">own </w:t>
      </w:r>
      <w:r>
        <w:rPr>
          <w:lang w:val="en-US"/>
        </w:rPr>
        <w:t xml:space="preserve">Middle East Command in 1939, </w:t>
      </w:r>
      <w:r w:rsidR="00CE4D1B">
        <w:rPr>
          <w:lang w:val="en-US"/>
        </w:rPr>
        <w:t xml:space="preserve">and naval forces in the </w:t>
      </w:r>
      <w:r w:rsidR="002701CB">
        <w:rPr>
          <w:lang w:val="en-US"/>
        </w:rPr>
        <w:t xml:space="preserve">eastern Mediterranean </w:t>
      </w:r>
      <w:r w:rsidR="00CE4D1B">
        <w:rPr>
          <w:lang w:val="en-US"/>
        </w:rPr>
        <w:t xml:space="preserve">were integrated into the high command headquartered in Cairo.  </w:t>
      </w:r>
      <w:r>
        <w:rPr>
          <w:lang w:val="en-US"/>
        </w:rPr>
        <w:t xml:space="preserve">The geographical area assigned to </w:t>
      </w:r>
      <w:r w:rsidR="008C4A07">
        <w:rPr>
          <w:lang w:val="en-US"/>
        </w:rPr>
        <w:t>these commands was fluid</w:t>
      </w:r>
      <w:r>
        <w:rPr>
          <w:lang w:val="en-US"/>
        </w:rPr>
        <w:t xml:space="preserve">, </w:t>
      </w:r>
      <w:r w:rsidR="00CE4D1B">
        <w:rPr>
          <w:lang w:val="en-US"/>
        </w:rPr>
        <w:t xml:space="preserve">changing </w:t>
      </w:r>
      <w:r w:rsidR="00622352">
        <w:rPr>
          <w:lang w:val="en-US"/>
        </w:rPr>
        <w:t>with the locus of combat</w:t>
      </w:r>
      <w:r w:rsidR="00AB72E5">
        <w:rPr>
          <w:lang w:val="en-US"/>
        </w:rPr>
        <w:t xml:space="preserve">, </w:t>
      </w:r>
      <w:r w:rsidR="00CE4D1B">
        <w:rPr>
          <w:lang w:val="en-US"/>
        </w:rPr>
        <w:t xml:space="preserve">but a crucial responsibility was to protect the Suez Canal and the oil fields in the region. </w:t>
      </w:r>
      <w:r w:rsidR="00CB41A2">
        <w:rPr>
          <w:rFonts w:cs="Times New Roman"/>
        </w:rPr>
        <w:t xml:space="preserve">In 1941 </w:t>
      </w:r>
      <w:r w:rsidR="008C4A07">
        <w:rPr>
          <w:rFonts w:cs="Times New Roman"/>
        </w:rPr>
        <w:t xml:space="preserve">Britain took </w:t>
      </w:r>
      <w:r w:rsidR="00CB41A2">
        <w:rPr>
          <w:rFonts w:cs="Times New Roman"/>
        </w:rPr>
        <w:t xml:space="preserve">further </w:t>
      </w:r>
      <w:r w:rsidR="008C4A07">
        <w:rPr>
          <w:rFonts w:cs="Times New Roman"/>
        </w:rPr>
        <w:t xml:space="preserve">measures to manage its military </w:t>
      </w:r>
      <w:r w:rsidR="00E811F0">
        <w:rPr>
          <w:rFonts w:cs="Times New Roman"/>
        </w:rPr>
        <w:t>supply chain</w:t>
      </w:r>
      <w:r w:rsidR="008C4A07">
        <w:rPr>
          <w:rFonts w:cs="Times New Roman"/>
        </w:rPr>
        <w:t xml:space="preserve"> by establishing</w:t>
      </w:r>
      <w:r w:rsidR="00E811F0">
        <w:rPr>
          <w:rFonts w:cs="Times New Roman"/>
        </w:rPr>
        <w:t xml:space="preserve"> </w:t>
      </w:r>
      <w:r w:rsidR="008C4A07">
        <w:rPr>
          <w:rFonts w:cs="Times New Roman"/>
        </w:rPr>
        <w:t xml:space="preserve">the Middle East Supply Centre </w:t>
      </w:r>
      <w:r w:rsidR="00CB41A2">
        <w:rPr>
          <w:rFonts w:cs="Times New Roman"/>
        </w:rPr>
        <w:t>in Cairo</w:t>
      </w:r>
      <w:r w:rsidR="008C4A07">
        <w:rPr>
          <w:rFonts w:cs="Times New Roman"/>
        </w:rPr>
        <w:t xml:space="preserve"> – it</w:t>
      </w:r>
      <w:r w:rsidR="00CB41A2">
        <w:rPr>
          <w:rFonts w:cs="Times New Roman"/>
        </w:rPr>
        <w:t xml:space="preserve">s responsibilities grew rapidly and it </w:t>
      </w:r>
      <w:r w:rsidR="00E811F0">
        <w:rPr>
          <w:rFonts w:cs="Times New Roman"/>
        </w:rPr>
        <w:t xml:space="preserve">became an </w:t>
      </w:r>
      <w:r w:rsidR="008C4A07">
        <w:rPr>
          <w:rFonts w:cs="Times New Roman"/>
        </w:rPr>
        <w:t>Anglo-American operation the next year</w:t>
      </w:r>
      <w:r w:rsidR="00E811F0">
        <w:rPr>
          <w:rFonts w:cs="Times New Roman"/>
        </w:rPr>
        <w:t xml:space="preserve"> – </w:t>
      </w:r>
      <w:r w:rsidR="008C4A07">
        <w:rPr>
          <w:rFonts w:cs="Times New Roman"/>
        </w:rPr>
        <w:t xml:space="preserve">and </w:t>
      </w:r>
      <w:r w:rsidR="00CB41A2">
        <w:rPr>
          <w:rFonts w:cs="Times New Roman"/>
        </w:rPr>
        <w:t xml:space="preserve">when Churchill appointed a Minister of State in the Middle East and sent him to Cairo in the summer </w:t>
      </w:r>
      <w:r w:rsidR="00F3461C">
        <w:rPr>
          <w:rFonts w:cs="Times New Roman"/>
        </w:rPr>
        <w:t xml:space="preserve">it was </w:t>
      </w:r>
      <w:r w:rsidR="00CE4D1B">
        <w:rPr>
          <w:rFonts w:cs="Times New Roman"/>
        </w:rPr>
        <w:t xml:space="preserve">clear that </w:t>
      </w:r>
      <w:r w:rsidR="001244C3">
        <w:rPr>
          <w:rFonts w:cs="Times New Roman"/>
        </w:rPr>
        <w:t xml:space="preserve">Britain’s ‘Middle East’ </w:t>
      </w:r>
      <w:r w:rsidR="00CE4D1B">
        <w:rPr>
          <w:rFonts w:cs="Times New Roman"/>
        </w:rPr>
        <w:t xml:space="preserve">– the possessive is essential – had assumed a </w:t>
      </w:r>
      <w:r w:rsidR="00F3461C">
        <w:rPr>
          <w:rFonts w:cs="Times New Roman"/>
        </w:rPr>
        <w:t xml:space="preserve">newly </w:t>
      </w:r>
      <w:r w:rsidR="00CE4D1B">
        <w:rPr>
          <w:rFonts w:cs="Times New Roman"/>
        </w:rPr>
        <w:t>coherent form</w:t>
      </w:r>
      <w:r w:rsidR="00CB41A2">
        <w:rPr>
          <w:rFonts w:cs="Times New Roman"/>
        </w:rPr>
        <w:t>, no longer an ancillary to British India or a remnant of the Ottoman Empire,</w:t>
      </w:r>
      <w:r w:rsidR="00CE4D1B">
        <w:rPr>
          <w:rFonts w:cs="Times New Roman"/>
        </w:rPr>
        <w:t xml:space="preserve"> and that its centre of gravity </w:t>
      </w:r>
      <w:r w:rsidR="001244C3">
        <w:rPr>
          <w:rFonts w:cs="Times New Roman"/>
        </w:rPr>
        <w:t xml:space="preserve">had shifted </w:t>
      </w:r>
      <w:r w:rsidR="00CE4D1B">
        <w:rPr>
          <w:rFonts w:cs="Times New Roman"/>
        </w:rPr>
        <w:t xml:space="preserve">to </w:t>
      </w:r>
      <w:r w:rsidR="0061237C" w:rsidRPr="00AE5703">
        <w:rPr>
          <w:rFonts w:cs="Times New Roman"/>
        </w:rPr>
        <w:t>Cairo.</w:t>
      </w:r>
      <w:r w:rsidR="00CE4D1B">
        <w:rPr>
          <w:rFonts w:cs="Times New Roman"/>
        </w:rPr>
        <w:t xml:space="preserve"> </w:t>
      </w:r>
      <w:r w:rsidR="006675F1">
        <w:rPr>
          <w:rStyle w:val="FootnoteReference"/>
          <w:rFonts w:cs="Times New Roman"/>
        </w:rPr>
        <w:footnoteReference w:id="27"/>
      </w:r>
    </w:p>
    <w:p w14:paraId="391E395B" w14:textId="77777777" w:rsidR="006F3BCC" w:rsidRDefault="006F3BCC" w:rsidP="002701CB">
      <w:pPr>
        <w:spacing w:line="360" w:lineRule="auto"/>
        <w:ind w:right="-7"/>
        <w:jc w:val="both"/>
        <w:rPr>
          <w:rFonts w:cs="Times New Roman"/>
        </w:rPr>
      </w:pPr>
    </w:p>
    <w:p w14:paraId="6BCC1359" w14:textId="0F0F2AF5" w:rsidR="002701CB" w:rsidRDefault="002701CB" w:rsidP="002701CB">
      <w:pPr>
        <w:spacing w:line="360" w:lineRule="auto"/>
        <w:ind w:right="-7"/>
        <w:jc w:val="center"/>
        <w:rPr>
          <w:rFonts w:cs="Times New Roman"/>
        </w:rPr>
      </w:pPr>
      <w:r>
        <w:rPr>
          <w:rFonts w:cs="Times New Roman"/>
        </w:rPr>
        <w:t>* * *</w:t>
      </w:r>
    </w:p>
    <w:p w14:paraId="632C185F" w14:textId="698B45EA" w:rsidR="00CF4885" w:rsidRDefault="001714C4" w:rsidP="00CB41A2">
      <w:pPr>
        <w:spacing w:line="360" w:lineRule="auto"/>
        <w:ind w:right="-7" w:firstLine="720"/>
        <w:jc w:val="both"/>
        <w:rPr>
          <w:rFonts w:cs="Times New Roman"/>
        </w:rPr>
      </w:pPr>
      <w:r>
        <w:rPr>
          <w:rFonts w:cs="Times New Roman"/>
        </w:rPr>
        <w:t xml:space="preserve">This re-mapping </w:t>
      </w:r>
      <w:r w:rsidR="002701CB">
        <w:rPr>
          <w:rFonts w:cs="Times New Roman"/>
        </w:rPr>
        <w:t xml:space="preserve">(and its re-orientation) </w:t>
      </w:r>
      <w:r>
        <w:rPr>
          <w:rFonts w:cs="Times New Roman"/>
        </w:rPr>
        <w:t>was confirmed after the Second World War, but the cartographers were n</w:t>
      </w:r>
      <w:r w:rsidR="002701CB">
        <w:rPr>
          <w:rFonts w:cs="Times New Roman"/>
        </w:rPr>
        <w:t>ow American.  Soon after the war ended t</w:t>
      </w:r>
      <w:r w:rsidR="00791B19" w:rsidRPr="00AE5703">
        <w:rPr>
          <w:rFonts w:cs="Times New Roman"/>
        </w:rPr>
        <w:t xml:space="preserve">he region was plunged back into conflict by the </w:t>
      </w:r>
      <w:r w:rsidR="002701CB">
        <w:rPr>
          <w:rFonts w:cs="Times New Roman"/>
        </w:rPr>
        <w:t xml:space="preserve">enforced </w:t>
      </w:r>
      <w:r w:rsidR="00791B19" w:rsidRPr="00AE5703">
        <w:rPr>
          <w:rFonts w:cs="Times New Roman"/>
        </w:rPr>
        <w:t xml:space="preserve">partition of Palestine, the foundation of the state of Israel in 1948 and the </w:t>
      </w:r>
      <w:r>
        <w:rPr>
          <w:rFonts w:cs="Times New Roman"/>
        </w:rPr>
        <w:t xml:space="preserve">violent </w:t>
      </w:r>
      <w:r w:rsidR="00791B19" w:rsidRPr="00AE5703">
        <w:rPr>
          <w:rFonts w:cs="Times New Roman"/>
        </w:rPr>
        <w:t>dispossession of hundreds of thousands of Palestinians.  By t</w:t>
      </w:r>
      <w:r w:rsidR="00F3461C">
        <w:rPr>
          <w:rFonts w:cs="Times New Roman"/>
        </w:rPr>
        <w:t>hen, Britain’s star was fading</w:t>
      </w:r>
      <w:r w:rsidR="00CB41A2">
        <w:rPr>
          <w:rFonts w:cs="Times New Roman"/>
        </w:rPr>
        <w:t xml:space="preserve"> fast</w:t>
      </w:r>
      <w:r w:rsidR="00F3461C">
        <w:rPr>
          <w:rFonts w:cs="Times New Roman"/>
        </w:rPr>
        <w:t xml:space="preserve">, </w:t>
      </w:r>
      <w:r w:rsidR="00791B19" w:rsidRPr="00AE5703">
        <w:rPr>
          <w:rFonts w:cs="Times New Roman"/>
        </w:rPr>
        <w:t>a fact dramatically confir</w:t>
      </w:r>
      <w:r w:rsidR="00F3461C">
        <w:rPr>
          <w:rFonts w:cs="Times New Roman"/>
        </w:rPr>
        <w:t xml:space="preserve">med by the Suez Crisis of 1956. </w:t>
      </w:r>
      <w:r w:rsidR="00652D16">
        <w:rPr>
          <w:rFonts w:cs="Times New Roman"/>
        </w:rPr>
        <w:t xml:space="preserve"> American interest in the region </w:t>
      </w:r>
      <w:r>
        <w:rPr>
          <w:rFonts w:cs="Times New Roman"/>
        </w:rPr>
        <w:t xml:space="preserve">had </w:t>
      </w:r>
      <w:r w:rsidR="00652D16">
        <w:rPr>
          <w:rFonts w:cs="Times New Roman"/>
        </w:rPr>
        <w:t xml:space="preserve">intensified, both overtly and covertly, </w:t>
      </w:r>
      <w:r w:rsidR="00791B19" w:rsidRPr="00AE5703">
        <w:rPr>
          <w:rFonts w:cs="Times New Roman"/>
        </w:rPr>
        <w:t>in response to the expanding Soviet sphere of influence</w:t>
      </w:r>
      <w:r>
        <w:rPr>
          <w:rFonts w:cs="Times New Roman"/>
        </w:rPr>
        <w:t>, and</w:t>
      </w:r>
      <w:r w:rsidR="0016359B">
        <w:rPr>
          <w:rFonts w:cs="Times New Roman"/>
        </w:rPr>
        <w:t xml:space="preserve"> it</w:t>
      </w:r>
      <w:r w:rsidR="00652D16">
        <w:rPr>
          <w:rFonts w:cs="Times New Roman"/>
        </w:rPr>
        <w:t xml:space="preserve"> was during the Cold War that </w:t>
      </w:r>
      <w:r w:rsidR="006F3BCC">
        <w:rPr>
          <w:rFonts w:cs="Times New Roman"/>
        </w:rPr>
        <w:t xml:space="preserve">the idea of a </w:t>
      </w:r>
      <w:r w:rsidR="006C35B0">
        <w:rPr>
          <w:rFonts w:cs="Times New Roman"/>
        </w:rPr>
        <w:t>‘</w:t>
      </w:r>
      <w:r w:rsidR="006F3BCC">
        <w:rPr>
          <w:rFonts w:cs="Times New Roman"/>
        </w:rPr>
        <w:t>Middle East</w:t>
      </w:r>
      <w:r w:rsidR="006C35B0">
        <w:rPr>
          <w:rFonts w:cs="Times New Roman"/>
        </w:rPr>
        <w:t>’</w:t>
      </w:r>
      <w:r w:rsidR="006F3BCC">
        <w:rPr>
          <w:rFonts w:cs="Times New Roman"/>
        </w:rPr>
        <w:t xml:space="preserve"> </w:t>
      </w:r>
      <w:r w:rsidR="00652D16">
        <w:rPr>
          <w:rFonts w:cs="Times New Roman"/>
        </w:rPr>
        <w:t xml:space="preserve">was consolidated </w:t>
      </w:r>
      <w:r w:rsidR="006F3BCC">
        <w:rPr>
          <w:rFonts w:cs="Times New Roman"/>
        </w:rPr>
        <w:t>in the United States</w:t>
      </w:r>
      <w:r w:rsidR="00CB41A2">
        <w:rPr>
          <w:rFonts w:cs="Times New Roman"/>
        </w:rPr>
        <w:t>.</w:t>
      </w:r>
      <w:r w:rsidR="00652D16">
        <w:rPr>
          <w:rFonts w:cs="Times New Roman"/>
        </w:rPr>
        <w:t xml:space="preserve"> </w:t>
      </w:r>
      <w:r w:rsidR="00652D16">
        <w:rPr>
          <w:rStyle w:val="FootnoteReference"/>
          <w:rFonts w:cs="Times New Roman"/>
        </w:rPr>
        <w:footnoteReference w:id="28"/>
      </w:r>
      <w:r w:rsidR="00BA0D29">
        <w:rPr>
          <w:rFonts w:cs="Times New Roman"/>
        </w:rPr>
        <w:t xml:space="preserve"> </w:t>
      </w:r>
      <w:r w:rsidR="0016359B">
        <w:rPr>
          <w:rFonts w:cs="Times New Roman"/>
        </w:rPr>
        <w:t xml:space="preserve"> </w:t>
      </w:r>
      <w:r w:rsidR="006C35B0">
        <w:rPr>
          <w:rFonts w:cs="Times New Roman"/>
        </w:rPr>
        <w:t xml:space="preserve">The region was mapped </w:t>
      </w:r>
      <w:r w:rsidR="00CB41A2">
        <w:rPr>
          <w:rFonts w:cs="Times New Roman"/>
        </w:rPr>
        <w:t xml:space="preserve">into </w:t>
      </w:r>
      <w:r w:rsidR="00791B19" w:rsidRPr="00AE5703">
        <w:rPr>
          <w:rFonts w:cs="Times New Roman"/>
        </w:rPr>
        <w:t xml:space="preserve">what </w:t>
      </w:r>
      <w:r w:rsidR="00B8595F">
        <w:rPr>
          <w:rFonts w:cs="Times New Roman"/>
        </w:rPr>
        <w:t xml:space="preserve">President Carter’s </w:t>
      </w:r>
      <w:r w:rsidR="00110CE2">
        <w:rPr>
          <w:rFonts w:cs="Times New Roman"/>
        </w:rPr>
        <w:t xml:space="preserve">National Security Advisor Zbigniew Brzezinski </w:t>
      </w:r>
      <w:r w:rsidR="006C35B0">
        <w:rPr>
          <w:rFonts w:cs="Times New Roman"/>
        </w:rPr>
        <w:t xml:space="preserve">identified </w:t>
      </w:r>
      <w:r w:rsidR="00CB41A2">
        <w:rPr>
          <w:rFonts w:cs="Times New Roman"/>
        </w:rPr>
        <w:t xml:space="preserve">in 1978 </w:t>
      </w:r>
      <w:r w:rsidR="006C35B0">
        <w:rPr>
          <w:rFonts w:cs="Times New Roman"/>
        </w:rPr>
        <w:t xml:space="preserve">as </w:t>
      </w:r>
      <w:r w:rsidR="00791B19" w:rsidRPr="00AE5703">
        <w:rPr>
          <w:rFonts w:cs="Times New Roman"/>
        </w:rPr>
        <w:t>an ‘arc of crisis’</w:t>
      </w:r>
      <w:r w:rsidR="0016359B">
        <w:rPr>
          <w:rFonts w:cs="Times New Roman"/>
        </w:rPr>
        <w:t xml:space="preserve"> – though US complicity in </w:t>
      </w:r>
      <w:r>
        <w:rPr>
          <w:rFonts w:cs="Times New Roman"/>
        </w:rPr>
        <w:t xml:space="preserve">sowing these </w:t>
      </w:r>
      <w:r w:rsidR="0016359B">
        <w:rPr>
          <w:rFonts w:cs="Times New Roman"/>
        </w:rPr>
        <w:t xml:space="preserve">crises was rarely </w:t>
      </w:r>
      <w:r w:rsidR="002701CB">
        <w:rPr>
          <w:rFonts w:cs="Times New Roman"/>
        </w:rPr>
        <w:t>mentioned by its</w:t>
      </w:r>
      <w:r>
        <w:rPr>
          <w:rFonts w:cs="Times New Roman"/>
        </w:rPr>
        <w:t xml:space="preserve"> politicians </w:t>
      </w:r>
      <w:r w:rsidR="0016359B">
        <w:rPr>
          <w:rFonts w:cs="Times New Roman"/>
        </w:rPr>
        <w:t xml:space="preserve">– </w:t>
      </w:r>
      <w:r>
        <w:rPr>
          <w:rFonts w:cs="Times New Roman"/>
        </w:rPr>
        <w:t xml:space="preserve">and this </w:t>
      </w:r>
      <w:r w:rsidR="006C35B0">
        <w:rPr>
          <w:rFonts w:cs="Times New Roman"/>
        </w:rPr>
        <w:t>imaginative geography</w:t>
      </w:r>
      <w:r>
        <w:rPr>
          <w:rFonts w:cs="Times New Roman"/>
        </w:rPr>
        <w:t xml:space="preserve">, in seemingly endless variations on a single theme, </w:t>
      </w:r>
      <w:r w:rsidR="006C35B0">
        <w:rPr>
          <w:rFonts w:cs="Times New Roman"/>
        </w:rPr>
        <w:t xml:space="preserve">spanned a series of </w:t>
      </w:r>
      <w:r w:rsidR="00791B19" w:rsidRPr="00AE5703">
        <w:rPr>
          <w:rFonts w:cs="Times New Roman"/>
        </w:rPr>
        <w:t>wars between Arab states and Israel, the Israeli occupation of Gaza and the West Bank after 1967, the unresolved Palestinian question and the</w:t>
      </w:r>
      <w:r w:rsidR="00AF3515" w:rsidRPr="00AE5703">
        <w:rPr>
          <w:rFonts w:cs="Times New Roman"/>
        </w:rPr>
        <w:t xml:space="preserve"> Intifada</w:t>
      </w:r>
      <w:r w:rsidR="00791B19" w:rsidRPr="00AE5703">
        <w:rPr>
          <w:rFonts w:cs="Times New Roman"/>
        </w:rPr>
        <w:t xml:space="preserve">, </w:t>
      </w:r>
      <w:r>
        <w:rPr>
          <w:rFonts w:cs="Times New Roman"/>
        </w:rPr>
        <w:t>the civil war</w:t>
      </w:r>
      <w:r w:rsidR="00791B19" w:rsidRPr="00AE5703">
        <w:rPr>
          <w:rFonts w:cs="Times New Roman"/>
        </w:rPr>
        <w:t xml:space="preserve"> in Lebanon</w:t>
      </w:r>
      <w:r w:rsidR="006C35B0">
        <w:rPr>
          <w:rFonts w:cs="Times New Roman"/>
        </w:rPr>
        <w:t xml:space="preserve"> (1975-90)</w:t>
      </w:r>
      <w:r w:rsidR="00791B19" w:rsidRPr="00AE5703">
        <w:rPr>
          <w:rFonts w:cs="Times New Roman"/>
        </w:rPr>
        <w:t xml:space="preserve">, </w:t>
      </w:r>
      <w:r w:rsidR="00CB41A2">
        <w:rPr>
          <w:rFonts w:cs="Times New Roman"/>
        </w:rPr>
        <w:t>the Iranian Revolution</w:t>
      </w:r>
      <w:r w:rsidR="006C35B0">
        <w:rPr>
          <w:rFonts w:cs="Times New Roman"/>
        </w:rPr>
        <w:t xml:space="preserve"> in 1979 and</w:t>
      </w:r>
      <w:r w:rsidR="00CB41A2">
        <w:rPr>
          <w:rFonts w:cs="Times New Roman"/>
        </w:rPr>
        <w:t xml:space="preserve"> </w:t>
      </w:r>
      <w:r w:rsidR="00791B19" w:rsidRPr="00AE5703">
        <w:rPr>
          <w:rFonts w:cs="Times New Roman"/>
        </w:rPr>
        <w:t>the Iraq-Iran war (1980-88</w:t>
      </w:r>
      <w:r w:rsidR="006C35B0">
        <w:rPr>
          <w:rFonts w:cs="Times New Roman"/>
        </w:rPr>
        <w:t>)</w:t>
      </w:r>
      <w:r w:rsidR="00791B19" w:rsidRPr="00AE5703">
        <w:rPr>
          <w:rFonts w:cs="Times New Roman"/>
        </w:rPr>
        <w:t>.</w:t>
      </w:r>
      <w:r w:rsidR="00AE5703">
        <w:rPr>
          <w:rFonts w:cs="Times New Roman"/>
        </w:rPr>
        <w:t xml:space="preserve"> </w:t>
      </w:r>
      <w:r w:rsidR="00F3461C">
        <w:rPr>
          <w:rFonts w:cs="Times New Roman"/>
        </w:rPr>
        <w:t xml:space="preserve"> </w:t>
      </w:r>
      <w:r w:rsidR="006C35B0">
        <w:rPr>
          <w:rFonts w:cs="Times New Roman"/>
        </w:rPr>
        <w:t xml:space="preserve">In 1980 </w:t>
      </w:r>
      <w:r>
        <w:rPr>
          <w:rFonts w:cs="Times New Roman"/>
        </w:rPr>
        <w:t xml:space="preserve">the United States </w:t>
      </w:r>
      <w:r w:rsidR="002701CB">
        <w:rPr>
          <w:rFonts w:cs="Times New Roman"/>
        </w:rPr>
        <w:t xml:space="preserve">confirmed </w:t>
      </w:r>
      <w:r>
        <w:rPr>
          <w:rFonts w:cs="Times New Roman"/>
        </w:rPr>
        <w:t xml:space="preserve">its </w:t>
      </w:r>
      <w:r w:rsidR="006C35B0">
        <w:rPr>
          <w:rFonts w:cs="Times New Roman"/>
        </w:rPr>
        <w:t xml:space="preserve">geo-graphing of the </w:t>
      </w:r>
      <w:r w:rsidR="002701CB">
        <w:rPr>
          <w:rFonts w:cs="Times New Roman"/>
        </w:rPr>
        <w:t xml:space="preserve">Middle East </w:t>
      </w:r>
      <w:r w:rsidR="006C35B0">
        <w:rPr>
          <w:rFonts w:cs="Times New Roman"/>
        </w:rPr>
        <w:t xml:space="preserve">as economically pivotal and </w:t>
      </w:r>
      <w:r w:rsidR="0016359B">
        <w:rPr>
          <w:rFonts w:cs="Times New Roman"/>
        </w:rPr>
        <w:t>politically unstable</w:t>
      </w:r>
      <w:r w:rsidR="006C35B0">
        <w:rPr>
          <w:rFonts w:cs="Times New Roman"/>
        </w:rPr>
        <w:t xml:space="preserve"> </w:t>
      </w:r>
      <w:r w:rsidR="0016359B">
        <w:rPr>
          <w:rFonts w:cs="Times New Roman"/>
        </w:rPr>
        <w:t>by establishing</w:t>
      </w:r>
      <w:r w:rsidR="00CB41A2">
        <w:rPr>
          <w:rFonts w:cs="Times New Roman"/>
        </w:rPr>
        <w:t xml:space="preserve"> </w:t>
      </w:r>
      <w:r w:rsidR="00791B19" w:rsidRPr="00AE5703">
        <w:rPr>
          <w:rFonts w:cs="Times New Roman"/>
        </w:rPr>
        <w:t xml:space="preserve">a </w:t>
      </w:r>
      <w:r w:rsidR="00A56BA3">
        <w:rPr>
          <w:rFonts w:cs="Times New Roman"/>
        </w:rPr>
        <w:t xml:space="preserve">Rapid Deployment Joint Task </w:t>
      </w:r>
      <w:r w:rsidR="00CB41A2">
        <w:rPr>
          <w:rFonts w:cs="Times New Roman"/>
        </w:rPr>
        <w:t xml:space="preserve">Force </w:t>
      </w:r>
      <w:r w:rsidR="00E55D49">
        <w:rPr>
          <w:rFonts w:cs="Times New Roman"/>
        </w:rPr>
        <w:t xml:space="preserve">in order </w:t>
      </w:r>
      <w:r w:rsidR="0016359B">
        <w:rPr>
          <w:rFonts w:cs="Times New Roman"/>
        </w:rPr>
        <w:t xml:space="preserve">to respond ‘to </w:t>
      </w:r>
      <w:r w:rsidR="00A56BA3">
        <w:rPr>
          <w:rFonts w:cs="Times New Roman"/>
        </w:rPr>
        <w:t xml:space="preserve">contingencies threatening US vital interests’ across East Africa, the Arabian peninsula, Iran, Afghanistan and Pakistan. </w:t>
      </w:r>
      <w:r w:rsidR="00E55D49">
        <w:rPr>
          <w:rFonts w:cs="Times New Roman"/>
        </w:rPr>
        <w:t xml:space="preserve">If this </w:t>
      </w:r>
      <w:r w:rsidR="0016359B">
        <w:rPr>
          <w:rFonts w:cs="Times New Roman"/>
        </w:rPr>
        <w:t xml:space="preserve">realized </w:t>
      </w:r>
      <w:r w:rsidR="00F3461C">
        <w:rPr>
          <w:rFonts w:cs="Times New Roman"/>
        </w:rPr>
        <w:t xml:space="preserve">the ‘mobility’ </w:t>
      </w:r>
      <w:r w:rsidR="0016359B">
        <w:rPr>
          <w:rFonts w:cs="Times New Roman"/>
        </w:rPr>
        <w:t xml:space="preserve">that </w:t>
      </w:r>
      <w:r w:rsidR="00F3461C">
        <w:rPr>
          <w:rFonts w:cs="Times New Roman"/>
        </w:rPr>
        <w:t>Mahan</w:t>
      </w:r>
      <w:r w:rsidR="00A56BA3">
        <w:rPr>
          <w:rFonts w:cs="Times New Roman"/>
        </w:rPr>
        <w:t xml:space="preserve"> </w:t>
      </w:r>
      <w:r w:rsidR="0016359B">
        <w:rPr>
          <w:rFonts w:cs="Times New Roman"/>
        </w:rPr>
        <w:t xml:space="preserve">had </w:t>
      </w:r>
      <w:r w:rsidR="00A56BA3">
        <w:rPr>
          <w:rFonts w:cs="Times New Roman"/>
        </w:rPr>
        <w:t>deemed essenti</w:t>
      </w:r>
      <w:r w:rsidR="0016359B">
        <w:rPr>
          <w:rFonts w:cs="Times New Roman"/>
        </w:rPr>
        <w:t>al for securing the Middle East</w:t>
      </w:r>
      <w:r w:rsidR="00A56BA3">
        <w:rPr>
          <w:rFonts w:cs="Times New Roman"/>
        </w:rPr>
        <w:t xml:space="preserve"> </w:t>
      </w:r>
      <w:r w:rsidR="00E55D49">
        <w:rPr>
          <w:rFonts w:cs="Times New Roman"/>
        </w:rPr>
        <w:t xml:space="preserve">it did so </w:t>
      </w:r>
      <w:r w:rsidR="00A56BA3">
        <w:rPr>
          <w:rFonts w:cs="Times New Roman"/>
        </w:rPr>
        <w:t>radically new form</w:t>
      </w:r>
      <w:r w:rsidR="0016359B">
        <w:rPr>
          <w:rFonts w:cs="Times New Roman"/>
        </w:rPr>
        <w:t xml:space="preserve">: no longer confined to sea power, </w:t>
      </w:r>
      <w:r w:rsidR="00E55D49">
        <w:rPr>
          <w:rFonts w:cs="Times New Roman"/>
        </w:rPr>
        <w:t xml:space="preserve">this was a ‘full spectrum’ capability that </w:t>
      </w:r>
      <w:r w:rsidR="00A56BA3">
        <w:rPr>
          <w:rFonts w:cs="Times New Roman"/>
        </w:rPr>
        <w:t xml:space="preserve">integrated air, sea and ground forces.  In 1983 </w:t>
      </w:r>
      <w:r w:rsidR="00E55D49">
        <w:rPr>
          <w:rFonts w:cs="Times New Roman"/>
        </w:rPr>
        <w:t>the Joint Task Force</w:t>
      </w:r>
      <w:r w:rsidR="0016359B">
        <w:rPr>
          <w:rFonts w:cs="Times New Roman"/>
        </w:rPr>
        <w:t xml:space="preserve"> </w:t>
      </w:r>
      <w:r w:rsidR="00A56BA3">
        <w:rPr>
          <w:rFonts w:cs="Times New Roman"/>
        </w:rPr>
        <w:t xml:space="preserve">was </w:t>
      </w:r>
      <w:r w:rsidR="00E55D49">
        <w:rPr>
          <w:rFonts w:cs="Times New Roman"/>
        </w:rPr>
        <w:t xml:space="preserve">transformed </w:t>
      </w:r>
      <w:r w:rsidR="00A56BA3">
        <w:rPr>
          <w:rFonts w:cs="Times New Roman"/>
        </w:rPr>
        <w:t xml:space="preserve">into a unified combatant command, </w:t>
      </w:r>
      <w:r w:rsidR="00791B19" w:rsidRPr="00AE5703">
        <w:rPr>
          <w:rFonts w:cs="Times New Roman"/>
        </w:rPr>
        <w:t xml:space="preserve">US Central Command (CENTCOM), </w:t>
      </w:r>
      <w:r w:rsidR="00E55D49">
        <w:rPr>
          <w:rFonts w:cs="Times New Roman"/>
        </w:rPr>
        <w:t xml:space="preserve">explicitly </w:t>
      </w:r>
      <w:r w:rsidR="00A56BA3">
        <w:rPr>
          <w:rFonts w:cs="Times New Roman"/>
        </w:rPr>
        <w:t xml:space="preserve">charged with covering </w:t>
      </w:r>
      <w:r w:rsidR="00791B19" w:rsidRPr="00AE5703">
        <w:rPr>
          <w:rFonts w:cs="Times New Roman"/>
        </w:rPr>
        <w:t>‘the “central” area of the globe between the European a</w:t>
      </w:r>
      <w:r w:rsidR="00F3461C">
        <w:rPr>
          <w:rFonts w:cs="Times New Roman"/>
        </w:rPr>
        <w:t>nd Pacific Commands’</w:t>
      </w:r>
      <w:r w:rsidR="00E55D49">
        <w:rPr>
          <w:rFonts w:cs="Times New Roman"/>
        </w:rPr>
        <w:t>.  In significant part CENTCOM</w:t>
      </w:r>
      <w:r w:rsidR="00F3461C">
        <w:rPr>
          <w:rFonts w:cs="Times New Roman"/>
        </w:rPr>
        <w:t xml:space="preserve"> </w:t>
      </w:r>
      <w:r w:rsidR="00E55D49">
        <w:rPr>
          <w:rFonts w:cs="Times New Roman"/>
        </w:rPr>
        <w:t xml:space="preserve">retraced </w:t>
      </w:r>
      <w:r w:rsidR="00F3461C">
        <w:rPr>
          <w:rFonts w:cs="Times New Roman"/>
        </w:rPr>
        <w:t xml:space="preserve">Britain’s wartime </w:t>
      </w:r>
      <w:r w:rsidR="00791B19" w:rsidRPr="00AE5703">
        <w:rPr>
          <w:rFonts w:cs="Times New Roman"/>
        </w:rPr>
        <w:t>Middle East Command</w:t>
      </w:r>
      <w:r w:rsidR="00E55D49">
        <w:rPr>
          <w:rFonts w:cs="Times New Roman"/>
        </w:rPr>
        <w:t>, but middle had yielded to centre: not only cartographically centred but also strategically central</w:t>
      </w:r>
      <w:r w:rsidR="00791B19" w:rsidRPr="00AE5703">
        <w:rPr>
          <w:rFonts w:cs="Times New Roman"/>
        </w:rPr>
        <w:t xml:space="preserve">. </w:t>
      </w:r>
      <w:r w:rsidR="00F3461C">
        <w:rPr>
          <w:rFonts w:cs="Times New Roman"/>
        </w:rPr>
        <w:t xml:space="preserve">CENTCOM’s </w:t>
      </w:r>
      <w:r w:rsidR="006A4A61">
        <w:rPr>
          <w:rFonts w:cs="Times New Roman"/>
        </w:rPr>
        <w:t xml:space="preserve">Area of Responsibility </w:t>
      </w:r>
      <w:r w:rsidR="00F3461C">
        <w:rPr>
          <w:rFonts w:cs="Times New Roman"/>
        </w:rPr>
        <w:t xml:space="preserve">has varied </w:t>
      </w:r>
      <w:r w:rsidR="006A4A61">
        <w:rPr>
          <w:rFonts w:cs="Times New Roman"/>
        </w:rPr>
        <w:t>but it has never include</w:t>
      </w:r>
      <w:r w:rsidR="00E55D49">
        <w:rPr>
          <w:rFonts w:cs="Times New Roman"/>
        </w:rPr>
        <w:t xml:space="preserve">d Israel or occupied Palestine, </w:t>
      </w:r>
      <w:r w:rsidR="006A4A61">
        <w:rPr>
          <w:rFonts w:cs="Times New Roman"/>
        </w:rPr>
        <w:t xml:space="preserve">which remain the </w:t>
      </w:r>
      <w:r w:rsidR="00E55D49">
        <w:rPr>
          <w:rFonts w:cs="Times New Roman"/>
        </w:rPr>
        <w:t>preserve of US European Command or EUROCOM</w:t>
      </w:r>
      <w:r w:rsidR="006A4A61">
        <w:rPr>
          <w:rFonts w:cs="Times New Roman"/>
        </w:rPr>
        <w:t xml:space="preserve">.  This is, in part, the product of what </w:t>
      </w:r>
      <w:r w:rsidR="00A56BA3">
        <w:rPr>
          <w:rFonts w:cs="Times New Roman"/>
        </w:rPr>
        <w:t xml:space="preserve">John </w:t>
      </w:r>
      <w:r w:rsidR="006A4A61">
        <w:rPr>
          <w:rFonts w:cs="Times New Roman"/>
        </w:rPr>
        <w:t>Morrissey calls its ‘perennial focus on the geopolitics o</w:t>
      </w:r>
      <w:r w:rsidR="00A56BA3">
        <w:rPr>
          <w:rFonts w:cs="Times New Roman"/>
        </w:rPr>
        <w:t xml:space="preserve">f energy’, but </w:t>
      </w:r>
      <w:r w:rsidR="006A4A61">
        <w:rPr>
          <w:rFonts w:cs="Times New Roman"/>
        </w:rPr>
        <w:t xml:space="preserve">it also has something to do with a </w:t>
      </w:r>
      <w:r w:rsidR="00F461F5">
        <w:rPr>
          <w:rFonts w:cs="Times New Roman"/>
        </w:rPr>
        <w:t xml:space="preserve">modern </w:t>
      </w:r>
      <w:r w:rsidR="006A4A61">
        <w:rPr>
          <w:rFonts w:cs="Times New Roman"/>
        </w:rPr>
        <w:t xml:space="preserve">Orientalism that cleaves Israel from the Arab World. </w:t>
      </w:r>
      <w:r w:rsidR="00E55D49">
        <w:rPr>
          <w:rFonts w:cs="Times New Roman"/>
        </w:rPr>
        <w:t xml:space="preserve">This </w:t>
      </w:r>
      <w:r w:rsidR="006A4A61">
        <w:rPr>
          <w:rFonts w:cs="Times New Roman"/>
        </w:rPr>
        <w:t xml:space="preserve">strategic geography underscores the intimate liaison between military power and </w:t>
      </w:r>
      <w:r w:rsidR="00E55D49">
        <w:rPr>
          <w:rFonts w:cs="Times New Roman"/>
        </w:rPr>
        <w:t xml:space="preserve">cultural formation, and between geopolitics and economics, in </w:t>
      </w:r>
      <w:r w:rsidR="006A4A61">
        <w:rPr>
          <w:rFonts w:cs="Times New Roman"/>
        </w:rPr>
        <w:t>con</w:t>
      </w:r>
      <w:r w:rsidR="00E55D49">
        <w:rPr>
          <w:rFonts w:cs="Times New Roman"/>
        </w:rPr>
        <w:t>temporary constructions of the Middle East</w:t>
      </w:r>
      <w:r w:rsidR="006A4A61">
        <w:rPr>
          <w:rFonts w:cs="Times New Roman"/>
        </w:rPr>
        <w:t>.</w:t>
      </w:r>
      <w:r w:rsidR="0065375E">
        <w:rPr>
          <w:rFonts w:cs="Times New Roman"/>
        </w:rPr>
        <w:t xml:space="preserve"> </w:t>
      </w:r>
      <w:r w:rsidR="00F3461C">
        <w:rPr>
          <w:rStyle w:val="FootnoteReference"/>
          <w:rFonts w:cs="Times New Roman"/>
        </w:rPr>
        <w:footnoteReference w:id="29"/>
      </w:r>
      <w:r w:rsidR="009C135D">
        <w:rPr>
          <w:rFonts w:cs="Times New Roman"/>
        </w:rPr>
        <w:t xml:space="preserve"> </w:t>
      </w:r>
    </w:p>
    <w:p w14:paraId="4F830239" w14:textId="77777777" w:rsidR="00CF4885" w:rsidRDefault="00CF4885" w:rsidP="00CB41A2">
      <w:pPr>
        <w:spacing w:line="360" w:lineRule="auto"/>
        <w:ind w:right="-7" w:firstLine="720"/>
        <w:jc w:val="both"/>
        <w:rPr>
          <w:rFonts w:cs="Times New Roman"/>
        </w:rPr>
      </w:pPr>
    </w:p>
    <w:p w14:paraId="180B1D99" w14:textId="55FF1C5B" w:rsidR="0065375E" w:rsidRDefault="00E55D49" w:rsidP="00CF4885">
      <w:pPr>
        <w:spacing w:line="360" w:lineRule="auto"/>
        <w:ind w:right="-7" w:firstLine="720"/>
        <w:jc w:val="both"/>
        <w:rPr>
          <w:rFonts w:cs="Times New Roman"/>
        </w:rPr>
      </w:pPr>
      <w:r>
        <w:rPr>
          <w:rFonts w:cs="Times New Roman"/>
        </w:rPr>
        <w:t>This has become even clearer in the turbulent wake of 9/11.  The response to the terrorist attacks on New York and Washington dramatically increased the</w:t>
      </w:r>
      <w:r w:rsidR="00F461F5">
        <w:rPr>
          <w:rFonts w:cs="Times New Roman"/>
        </w:rPr>
        <w:t xml:space="preserve"> </w:t>
      </w:r>
      <w:r w:rsidR="0065375E">
        <w:rPr>
          <w:rFonts w:cs="Times New Roman"/>
        </w:rPr>
        <w:t xml:space="preserve">role </w:t>
      </w:r>
      <w:r w:rsidR="00F461F5">
        <w:rPr>
          <w:rFonts w:cs="Times New Roman"/>
        </w:rPr>
        <w:t xml:space="preserve">of CENTCOM </w:t>
      </w:r>
      <w:r w:rsidR="00CF4885">
        <w:rPr>
          <w:rFonts w:cs="Times New Roman"/>
        </w:rPr>
        <w:t xml:space="preserve">in the </w:t>
      </w:r>
      <w:r>
        <w:rPr>
          <w:rFonts w:cs="Times New Roman"/>
        </w:rPr>
        <w:t xml:space="preserve">US scripting of the Middle East, but this </w:t>
      </w:r>
      <w:r w:rsidR="00CF4885">
        <w:rPr>
          <w:rFonts w:cs="Times New Roman"/>
        </w:rPr>
        <w:t xml:space="preserve">deadly gavotte – in which violence unleashes more violence </w:t>
      </w:r>
      <w:r w:rsidR="00CF4885">
        <w:rPr>
          <w:rStyle w:val="FootnoteReference"/>
          <w:rFonts w:cs="Times New Roman"/>
        </w:rPr>
        <w:footnoteReference w:id="30"/>
      </w:r>
      <w:r w:rsidR="00CF4885">
        <w:rPr>
          <w:rFonts w:cs="Times New Roman"/>
        </w:rPr>
        <w:t xml:space="preserve"> – has </w:t>
      </w:r>
      <w:r>
        <w:rPr>
          <w:rFonts w:cs="Times New Roman"/>
        </w:rPr>
        <w:t xml:space="preserve">also </w:t>
      </w:r>
      <w:r w:rsidR="00CF4885">
        <w:rPr>
          <w:rFonts w:cs="Times New Roman"/>
        </w:rPr>
        <w:t xml:space="preserve">reactivated </w:t>
      </w:r>
      <w:r>
        <w:rPr>
          <w:rFonts w:cs="Times New Roman"/>
        </w:rPr>
        <w:t xml:space="preserve">classic </w:t>
      </w:r>
      <w:r w:rsidR="00CF4885">
        <w:rPr>
          <w:rFonts w:cs="Times New Roman"/>
        </w:rPr>
        <w:t xml:space="preserve">Orientalisms in ever more lurid forms.  </w:t>
      </w:r>
      <w:r w:rsidR="00B84FE8" w:rsidRPr="00AE5703">
        <w:rPr>
          <w:rFonts w:cs="Times New Roman"/>
        </w:rPr>
        <w:t xml:space="preserve">At the limit, </w:t>
      </w:r>
      <w:r w:rsidR="00CF4885">
        <w:rPr>
          <w:rFonts w:cs="Times New Roman"/>
        </w:rPr>
        <w:t xml:space="preserve">the Middle East has been </w:t>
      </w:r>
      <w:r>
        <w:rPr>
          <w:rFonts w:cs="Times New Roman"/>
        </w:rPr>
        <w:t xml:space="preserve">reduced to </w:t>
      </w:r>
      <w:r w:rsidR="00B84FE8" w:rsidRPr="00AE5703">
        <w:rPr>
          <w:rFonts w:cs="Times New Roman"/>
        </w:rPr>
        <w:t xml:space="preserve">what Fareed Zakaria described in an angry essay in </w:t>
      </w:r>
      <w:r w:rsidR="00B84FE8" w:rsidRPr="00AE5703">
        <w:rPr>
          <w:rFonts w:cs="Times New Roman"/>
          <w:i/>
        </w:rPr>
        <w:t>Newsweek</w:t>
      </w:r>
      <w:r w:rsidR="00B84FE8" w:rsidRPr="00AE5703">
        <w:rPr>
          <w:rFonts w:cs="Times New Roman"/>
        </w:rPr>
        <w:t xml:space="preserve"> in October 2001 as ‘the land of suicide bombers, flag-burners and fiery mullahs.’  In </w:t>
      </w:r>
      <w:r>
        <w:rPr>
          <w:rFonts w:cs="Times New Roman"/>
        </w:rPr>
        <w:t xml:space="preserve">a single, dreadful </w:t>
      </w:r>
      <w:r w:rsidR="00B84FE8" w:rsidRPr="00AE5703">
        <w:rPr>
          <w:rFonts w:cs="Times New Roman"/>
        </w:rPr>
        <w:t>phrase the various, vibrant cultures of the region were fixed and frozen into one diabolical landscape. Manoeuvres like Zakaria’s work to set the</w:t>
      </w:r>
      <w:r w:rsidR="0065375E">
        <w:rPr>
          <w:rFonts w:cs="Times New Roman"/>
        </w:rPr>
        <w:t xml:space="preserve"> Middle East apart – as </w:t>
      </w:r>
      <w:r w:rsidR="00B84FE8" w:rsidRPr="00AE5703">
        <w:rPr>
          <w:rFonts w:cs="Times New Roman"/>
        </w:rPr>
        <w:t>a wholly exceptional space – and to privilege the United States as what Zakaria called</w:t>
      </w:r>
      <w:r w:rsidR="0065375E">
        <w:rPr>
          <w:rFonts w:cs="Times New Roman"/>
        </w:rPr>
        <w:t xml:space="preserve">, </w:t>
      </w:r>
      <w:r>
        <w:rPr>
          <w:rFonts w:cs="Times New Roman"/>
        </w:rPr>
        <w:t xml:space="preserve">equally </w:t>
      </w:r>
      <w:r w:rsidR="0065375E">
        <w:rPr>
          <w:rFonts w:cs="Times New Roman"/>
        </w:rPr>
        <w:t>absurdly,</w:t>
      </w:r>
      <w:r w:rsidR="00B84FE8" w:rsidRPr="00AE5703">
        <w:rPr>
          <w:rFonts w:cs="Times New Roman"/>
        </w:rPr>
        <w:t xml:space="preserve"> ‘the universal nation’. </w:t>
      </w:r>
      <w:r w:rsidR="00B84FE8" w:rsidRPr="00AE5703">
        <w:rPr>
          <w:rStyle w:val="FootnoteReference"/>
          <w:rFonts w:cs="Times New Roman"/>
        </w:rPr>
        <w:footnoteReference w:id="31"/>
      </w:r>
      <w:r w:rsidR="00B84FE8" w:rsidRPr="00AE5703">
        <w:rPr>
          <w:rFonts w:cs="Times New Roman"/>
        </w:rPr>
        <w:t xml:space="preserve">   </w:t>
      </w:r>
    </w:p>
    <w:p w14:paraId="78F25427" w14:textId="77777777" w:rsidR="0065375E" w:rsidRDefault="0065375E" w:rsidP="00E55D49">
      <w:pPr>
        <w:spacing w:line="360" w:lineRule="auto"/>
        <w:ind w:right="-7"/>
        <w:jc w:val="both"/>
        <w:rPr>
          <w:rFonts w:cs="Times New Roman"/>
        </w:rPr>
      </w:pPr>
    </w:p>
    <w:p w14:paraId="36EFBDCE" w14:textId="26514D26" w:rsidR="00E55D49" w:rsidRDefault="00E55D49" w:rsidP="00E55D49">
      <w:pPr>
        <w:spacing w:line="360" w:lineRule="auto"/>
        <w:ind w:right="-7"/>
        <w:jc w:val="center"/>
        <w:rPr>
          <w:rFonts w:cs="Times New Roman"/>
        </w:rPr>
      </w:pPr>
      <w:r>
        <w:rPr>
          <w:rFonts w:cs="Times New Roman"/>
        </w:rPr>
        <w:t>* * *</w:t>
      </w:r>
    </w:p>
    <w:p w14:paraId="0346C067" w14:textId="14D0108C" w:rsidR="008F67CC" w:rsidRDefault="00B84FE8" w:rsidP="006D3BFD">
      <w:pPr>
        <w:spacing w:line="360" w:lineRule="auto"/>
        <w:ind w:right="-7" w:firstLine="720"/>
        <w:jc w:val="both"/>
        <w:rPr>
          <w:rFonts w:cs="Times New Roman"/>
        </w:rPr>
      </w:pPr>
      <w:r w:rsidRPr="00AE5703">
        <w:rPr>
          <w:rFonts w:cs="Times New Roman"/>
        </w:rPr>
        <w:t xml:space="preserve">Ten years later, </w:t>
      </w:r>
      <w:r w:rsidR="00E55D49">
        <w:rPr>
          <w:rFonts w:cs="Times New Roman"/>
        </w:rPr>
        <w:t xml:space="preserve">it is tempting to say that American (and European) commentators have finally acknowledged that the people of the Middle East can write their own history – and their own future.  </w:t>
      </w:r>
      <w:r w:rsidR="008F67CC">
        <w:rPr>
          <w:rFonts w:cs="Times New Roman"/>
        </w:rPr>
        <w:t xml:space="preserve">Said’s critique of Orientalism borrowed a telling phrase from Marx’s </w:t>
      </w:r>
      <w:r w:rsidR="008F67CC" w:rsidRPr="008F67CC">
        <w:rPr>
          <w:rFonts w:cs="Times New Roman"/>
          <w:i/>
        </w:rPr>
        <w:t>Eighteenth Brumaire</w:t>
      </w:r>
      <w:r w:rsidR="008F67CC">
        <w:rPr>
          <w:rFonts w:cs="Times New Roman"/>
        </w:rPr>
        <w:t xml:space="preserve"> as its epigraph: ‘They cannot represent themselves, they must be represented.’  This was the authorising conceit not only of Orientalism but also of ideas of the ‘Middle East’.   And yet, w</w:t>
      </w:r>
      <w:r w:rsidRPr="00AE5703">
        <w:rPr>
          <w:rFonts w:cs="Times New Roman"/>
        </w:rPr>
        <w:t>atchi</w:t>
      </w:r>
      <w:r w:rsidR="008F67CC">
        <w:rPr>
          <w:rFonts w:cs="Times New Roman"/>
        </w:rPr>
        <w:t>ng the Arab Spring as it unfolded across North Africa and into Egypt and the Gulf through 2011,</w:t>
      </w:r>
      <w:r w:rsidRPr="00AE5703">
        <w:rPr>
          <w:rFonts w:cs="Times New Roman"/>
        </w:rPr>
        <w:t xml:space="preserve"> </w:t>
      </w:r>
      <w:r w:rsidRPr="00AE5703">
        <w:rPr>
          <w:rFonts w:cs="Times New Roman"/>
          <w:i/>
        </w:rPr>
        <w:t>Time</w:t>
      </w:r>
      <w:r w:rsidRPr="00AE5703">
        <w:rPr>
          <w:rFonts w:cs="Times New Roman"/>
        </w:rPr>
        <w:t xml:space="preserve"> trumpeted the rise of ‘The New Middle East’.  One of its editors admitted he was surprised: ‘I didn’t think the [Arab] kids had it in them,’ he wrote: ‘They had plenty of cause to rebel but seemed unwilling or unable to do it.’   But the magazine’s political columnist ended on an upbeat note: seeing ‘support of American values in the region’ – by which he meant ‘freedom, democracy’ – Joe Klein urged his </w:t>
      </w:r>
      <w:r w:rsidR="006D3BFD">
        <w:rPr>
          <w:rFonts w:cs="Times New Roman"/>
        </w:rPr>
        <w:t xml:space="preserve">Arab and American </w:t>
      </w:r>
      <w:r w:rsidRPr="00AE5703">
        <w:rPr>
          <w:rFonts w:cs="Times New Roman"/>
        </w:rPr>
        <w:t xml:space="preserve">readers to turn their eyes from US military or economic intervention to ‘the power of example’.  ‘The ideal of the Tahrir Square masses, the dream of the Tunisian fruit seller, the goal of the brave Syrians facing Assad’s army in the streets, was to have the same freedoms that we have.’ </w:t>
      </w:r>
      <w:r w:rsidRPr="00AE5703">
        <w:rPr>
          <w:rStyle w:val="FootnoteReference"/>
          <w:rFonts w:cs="Times New Roman"/>
        </w:rPr>
        <w:footnoteReference w:id="32"/>
      </w:r>
      <w:r w:rsidR="00DB3265">
        <w:rPr>
          <w:rFonts w:cs="Times New Roman"/>
        </w:rPr>
        <w:t xml:space="preserve">  </w:t>
      </w:r>
      <w:r w:rsidR="008F67CC">
        <w:rPr>
          <w:rFonts w:cs="Times New Roman"/>
        </w:rPr>
        <w:t xml:space="preserve">Klein’s self-congratulatory </w:t>
      </w:r>
      <w:r w:rsidR="006D3BFD">
        <w:rPr>
          <w:rFonts w:cs="Times New Roman"/>
        </w:rPr>
        <w:t xml:space="preserve">coda </w:t>
      </w:r>
      <w:r w:rsidR="008F67CC">
        <w:rPr>
          <w:rFonts w:cs="Times New Roman"/>
        </w:rPr>
        <w:t>show</w:t>
      </w:r>
      <w:r w:rsidR="006D3BFD">
        <w:rPr>
          <w:rFonts w:cs="Times New Roman"/>
        </w:rPr>
        <w:t>s</w:t>
      </w:r>
      <w:r w:rsidR="008F67CC">
        <w:rPr>
          <w:rFonts w:cs="Times New Roman"/>
        </w:rPr>
        <w:t xml:space="preserve"> that, even now, the imperial cartographers still stand outside their map and assert the privilege of their own perspective.  Introducing the State Department’s</w:t>
      </w:r>
      <w:r w:rsidR="00D2040B" w:rsidRPr="00AE5703">
        <w:rPr>
          <w:rFonts w:cs="Times New Roman"/>
        </w:rPr>
        <w:t xml:space="preserve"> annual report on human rights in May 2012, Hillary Clinton </w:t>
      </w:r>
      <w:r w:rsidR="008F67CC">
        <w:rPr>
          <w:rFonts w:cs="Times New Roman"/>
        </w:rPr>
        <w:t xml:space="preserve">accepted </w:t>
      </w:r>
      <w:r w:rsidR="00D2040B" w:rsidRPr="00AE5703">
        <w:rPr>
          <w:rFonts w:cs="Times New Roman"/>
        </w:rPr>
        <w:t>that the Arab Spr</w:t>
      </w:r>
      <w:r w:rsidR="006F5457" w:rsidRPr="00AE5703">
        <w:rPr>
          <w:rFonts w:cs="Times New Roman"/>
        </w:rPr>
        <w:t>ing had changed the Middle East</w:t>
      </w:r>
      <w:r w:rsidR="006D3BFD">
        <w:rPr>
          <w:rFonts w:cs="Times New Roman"/>
        </w:rPr>
        <w:t>.  But s</w:t>
      </w:r>
      <w:r w:rsidR="00D2040B" w:rsidRPr="00AE5703">
        <w:rPr>
          <w:rFonts w:cs="Times New Roman"/>
        </w:rPr>
        <w:t xml:space="preserve">he </w:t>
      </w:r>
      <w:r w:rsidR="008F67CC">
        <w:rPr>
          <w:rFonts w:cs="Times New Roman"/>
        </w:rPr>
        <w:t>also said that the</w:t>
      </w:r>
      <w:r w:rsidR="00D2040B" w:rsidRPr="00AE5703">
        <w:rPr>
          <w:rFonts w:cs="Times New Roman"/>
        </w:rPr>
        <w:t xml:space="preserve"> reports </w:t>
      </w:r>
      <w:r w:rsidR="008F67CC">
        <w:rPr>
          <w:rFonts w:cs="Times New Roman"/>
        </w:rPr>
        <w:t xml:space="preserve">produced by her department </w:t>
      </w:r>
      <w:r w:rsidR="00D2040B" w:rsidRPr="00AE5703">
        <w:rPr>
          <w:rFonts w:cs="Times New Roman"/>
        </w:rPr>
        <w:t>made it clear to ‘governments ar</w:t>
      </w:r>
      <w:r w:rsidR="006F5457" w:rsidRPr="00AE5703">
        <w:rPr>
          <w:rFonts w:cs="Times New Roman"/>
        </w:rPr>
        <w:t>o</w:t>
      </w:r>
      <w:r w:rsidR="007C6642" w:rsidRPr="00AE5703">
        <w:rPr>
          <w:rFonts w:cs="Times New Roman"/>
        </w:rPr>
        <w:t>und the world: We are</w:t>
      </w:r>
      <w:r w:rsidR="00DB3265">
        <w:rPr>
          <w:rFonts w:cs="Times New Roman"/>
        </w:rPr>
        <w:t xml:space="preserve"> watching</w:t>
      </w:r>
      <w:r w:rsidR="008F67CC">
        <w:rPr>
          <w:rFonts w:cs="Times New Roman"/>
        </w:rPr>
        <w:t>…’</w:t>
      </w:r>
    </w:p>
    <w:p w14:paraId="2D02DC6C" w14:textId="77777777" w:rsidR="008F67CC" w:rsidRDefault="008F67CC" w:rsidP="00DB3265">
      <w:pPr>
        <w:spacing w:line="360" w:lineRule="auto"/>
        <w:ind w:right="-7" w:firstLine="720"/>
        <w:jc w:val="both"/>
        <w:rPr>
          <w:rFonts w:cs="Times New Roman"/>
        </w:rPr>
      </w:pPr>
    </w:p>
    <w:p w14:paraId="37953C79" w14:textId="5A678EA0" w:rsidR="00D2040B" w:rsidRPr="00AE5703" w:rsidRDefault="006D3BFD" w:rsidP="00DB3265">
      <w:pPr>
        <w:spacing w:line="360" w:lineRule="auto"/>
        <w:ind w:right="-7" w:firstLine="720"/>
        <w:jc w:val="both"/>
        <w:rPr>
          <w:rFonts w:cs="Times New Roman"/>
        </w:rPr>
      </w:pPr>
      <w:r>
        <w:rPr>
          <w:rFonts w:cs="Times New Roman"/>
        </w:rPr>
        <w:t>And so, i</w:t>
      </w:r>
      <w:r w:rsidR="000B431D">
        <w:rPr>
          <w:rFonts w:cs="Times New Roman"/>
        </w:rPr>
        <w:t xml:space="preserve">n response, I want to </w:t>
      </w:r>
      <w:r w:rsidR="007C6642" w:rsidRPr="00AE5703">
        <w:rPr>
          <w:rFonts w:cs="Times New Roman"/>
        </w:rPr>
        <w:t>end with Said’s wonderfully</w:t>
      </w:r>
      <w:r w:rsidR="00D2040B" w:rsidRPr="00AE5703">
        <w:rPr>
          <w:rFonts w:cs="Times New Roman"/>
        </w:rPr>
        <w:t xml:space="preserve"> ringing cry</w:t>
      </w:r>
      <w:r w:rsidR="007C6642" w:rsidRPr="00AE5703">
        <w:rPr>
          <w:rFonts w:cs="Times New Roman"/>
        </w:rPr>
        <w:t xml:space="preserve"> in </w:t>
      </w:r>
      <w:r w:rsidR="007C6642" w:rsidRPr="00AE5703">
        <w:rPr>
          <w:rFonts w:cs="Times New Roman"/>
          <w:i/>
        </w:rPr>
        <w:t>After the last sky</w:t>
      </w:r>
      <w:r w:rsidR="008F67CC">
        <w:rPr>
          <w:rFonts w:cs="Times New Roman"/>
        </w:rPr>
        <w:t xml:space="preserve">.  It was addressed to </w:t>
      </w:r>
      <w:r w:rsidR="000B431D">
        <w:rPr>
          <w:rFonts w:cs="Times New Roman"/>
        </w:rPr>
        <w:t>his Palestinian compatriots</w:t>
      </w:r>
      <w:r w:rsidR="008F67CC">
        <w:rPr>
          <w:rFonts w:cs="Times New Roman"/>
        </w:rPr>
        <w:t>, but it can now surely be extended:</w:t>
      </w:r>
      <w:r w:rsidR="00D2040B" w:rsidRPr="00AE5703">
        <w:rPr>
          <w:rFonts w:cs="Times New Roman"/>
        </w:rPr>
        <w:t xml:space="preserve"> </w:t>
      </w:r>
    </w:p>
    <w:p w14:paraId="6C0E7558" w14:textId="77777777" w:rsidR="007C6642" w:rsidRPr="00AE5703" w:rsidRDefault="007C6642" w:rsidP="00B84FE8">
      <w:pPr>
        <w:spacing w:line="360" w:lineRule="auto"/>
        <w:ind w:right="-7"/>
        <w:jc w:val="both"/>
        <w:rPr>
          <w:rFonts w:cs="Times New Roman"/>
        </w:rPr>
      </w:pPr>
    </w:p>
    <w:p w14:paraId="01B8B11A" w14:textId="3FC608FF" w:rsidR="007C6642" w:rsidRPr="00AE5703" w:rsidRDefault="007C6642" w:rsidP="00B84FE8">
      <w:pPr>
        <w:spacing w:line="360" w:lineRule="auto"/>
        <w:ind w:right="-7"/>
        <w:jc w:val="both"/>
        <w:rPr>
          <w:rFonts w:cs="Times New Roman"/>
        </w:rPr>
      </w:pPr>
      <w:r w:rsidRPr="00AE5703">
        <w:rPr>
          <w:rFonts w:cs="Times New Roman"/>
          <w:bCs/>
          <w:lang w:val="en-US"/>
        </w:rPr>
        <w:t>‘I would like to think we are not just the people seen or looked at in these photographs.  We are also looking at our observers</w:t>
      </w:r>
      <w:r w:rsidRPr="00AE5703">
        <w:rPr>
          <w:rFonts w:cs="Times New Roman"/>
          <w:lang w:val="en-US"/>
        </w:rPr>
        <w:t>.  We Pale</w:t>
      </w:r>
      <w:r w:rsidR="008F67CC">
        <w:rPr>
          <w:rFonts w:cs="Times New Roman"/>
          <w:lang w:val="en-US"/>
        </w:rPr>
        <w:t>stinians sometimes forget that –</w:t>
      </w:r>
      <w:r w:rsidRPr="00AE5703">
        <w:rPr>
          <w:rFonts w:cs="Times New Roman"/>
          <w:lang w:val="en-US"/>
        </w:rPr>
        <w:t xml:space="preserve"> as in country after country, the surveillance, confinement and study of Palestinians is part of the process of reducing our status and preventing our national fulfillment except as the Other who is opposite and un</w:t>
      </w:r>
      <w:r w:rsidR="008F67CC">
        <w:rPr>
          <w:rFonts w:cs="Times New Roman"/>
          <w:lang w:val="en-US"/>
        </w:rPr>
        <w:t>equal, always on the defensive –</w:t>
      </w:r>
      <w:r w:rsidRPr="00AE5703">
        <w:rPr>
          <w:rFonts w:cs="Times New Roman"/>
          <w:lang w:val="en-US"/>
        </w:rPr>
        <w:t xml:space="preserve"> we too are looking, we too are scrutinizing, assessing, judging.  </w:t>
      </w:r>
      <w:r w:rsidRPr="00AE5703">
        <w:rPr>
          <w:rFonts w:cs="Times New Roman"/>
          <w:bCs/>
          <w:lang w:val="en-US"/>
        </w:rPr>
        <w:t>We are more than someone’s object.</w:t>
      </w:r>
      <w:r w:rsidRPr="00AE5703">
        <w:rPr>
          <w:rFonts w:cs="Times New Roman"/>
          <w:lang w:val="en-US"/>
        </w:rPr>
        <w:t xml:space="preserve">  We do more than stand passively in front of whoever, for whatever reason, has wanted to look at us.’ </w:t>
      </w:r>
      <w:r w:rsidRPr="00AE5703">
        <w:rPr>
          <w:rStyle w:val="FootnoteReference"/>
          <w:rFonts w:cs="Times New Roman"/>
          <w:lang w:val="en-US"/>
        </w:rPr>
        <w:footnoteReference w:id="33"/>
      </w:r>
    </w:p>
    <w:p w14:paraId="7DFEC3D6" w14:textId="3ED7D282" w:rsidR="00791B19" w:rsidRPr="00AE5703" w:rsidRDefault="00791B19" w:rsidP="00B84FE8">
      <w:pPr>
        <w:spacing w:line="360" w:lineRule="auto"/>
        <w:ind w:right="-7"/>
        <w:jc w:val="both"/>
        <w:rPr>
          <w:rFonts w:cs="Times New Roman"/>
        </w:rPr>
      </w:pPr>
    </w:p>
    <w:p w14:paraId="0CE80974" w14:textId="51D78802" w:rsidR="007C6642" w:rsidRPr="00AE5703" w:rsidRDefault="007C6642" w:rsidP="00B84FE8">
      <w:pPr>
        <w:spacing w:line="360" w:lineRule="auto"/>
        <w:ind w:right="-7"/>
        <w:jc w:val="both"/>
        <w:rPr>
          <w:rFonts w:cs="Times New Roman"/>
        </w:rPr>
      </w:pPr>
      <w:r w:rsidRPr="00AE5703">
        <w:rPr>
          <w:rFonts w:cs="Times New Roman"/>
        </w:rPr>
        <w:t xml:space="preserve">As we look at the artworks in this exhibition, </w:t>
      </w:r>
      <w:bookmarkStart w:id="0" w:name="_GoBack"/>
      <w:bookmarkEnd w:id="0"/>
      <w:r w:rsidR="008F67CC">
        <w:rPr>
          <w:rFonts w:cs="Times New Roman"/>
        </w:rPr>
        <w:t xml:space="preserve">I hope we will recall these </w:t>
      </w:r>
      <w:r w:rsidRPr="00AE5703">
        <w:rPr>
          <w:rFonts w:cs="Times New Roman"/>
        </w:rPr>
        <w:t>words: for the very best art requires us to look not only at its subject but also into ourselves.</w:t>
      </w:r>
      <w:r w:rsidR="000E1929">
        <w:rPr>
          <w:rFonts w:cs="Times New Roman"/>
        </w:rPr>
        <w:t xml:space="preserve">  And in doing so, we </w:t>
      </w:r>
      <w:r w:rsidR="00B95477">
        <w:rPr>
          <w:rFonts w:cs="Times New Roman"/>
        </w:rPr>
        <w:t xml:space="preserve">might </w:t>
      </w:r>
      <w:r w:rsidR="000E1929">
        <w:rPr>
          <w:rFonts w:cs="Times New Roman"/>
        </w:rPr>
        <w:t xml:space="preserve">reflect on the multiple ways in which Europe and America have imposed their own ideas and interests through the </w:t>
      </w:r>
      <w:r w:rsidR="008F67CC">
        <w:rPr>
          <w:rFonts w:cs="Times New Roman"/>
        </w:rPr>
        <w:t xml:space="preserve">artful </w:t>
      </w:r>
      <w:r w:rsidR="000E1929">
        <w:rPr>
          <w:rFonts w:cs="Times New Roman"/>
        </w:rPr>
        <w:t>construction of a ‘Middle East’ that, both imaginatively and materially, has done extraordinary violence to other people and other places.</w:t>
      </w:r>
    </w:p>
    <w:p w14:paraId="4A6DE3A4" w14:textId="77777777" w:rsidR="00791B19" w:rsidRPr="00AE5703" w:rsidRDefault="00791B19" w:rsidP="00791B19">
      <w:pPr>
        <w:spacing w:line="360" w:lineRule="auto"/>
        <w:ind w:right="-7"/>
        <w:jc w:val="both"/>
        <w:rPr>
          <w:rFonts w:cs="Times New Roman"/>
          <w:lang w:val="en-US"/>
        </w:rPr>
      </w:pPr>
    </w:p>
    <w:p w14:paraId="74C2E6F6" w14:textId="77777777" w:rsidR="00791B19" w:rsidRPr="00AE5703" w:rsidRDefault="00791B19" w:rsidP="00791B19">
      <w:pPr>
        <w:spacing w:line="360" w:lineRule="auto"/>
        <w:ind w:right="-7"/>
        <w:jc w:val="both"/>
        <w:rPr>
          <w:rFonts w:cs="Times New Roman"/>
          <w:lang w:val="en-US"/>
        </w:rPr>
      </w:pPr>
    </w:p>
    <w:p w14:paraId="74236A25" w14:textId="77777777" w:rsidR="00791B19" w:rsidRPr="00AE5703" w:rsidRDefault="00791B19" w:rsidP="00791B19">
      <w:pPr>
        <w:spacing w:line="360" w:lineRule="auto"/>
        <w:ind w:right="-7"/>
        <w:jc w:val="both"/>
        <w:rPr>
          <w:rFonts w:cs="Times New Roman"/>
          <w:lang w:val="en-US"/>
        </w:rPr>
      </w:pPr>
    </w:p>
    <w:p w14:paraId="3123E987" w14:textId="77777777" w:rsidR="00511686" w:rsidRPr="00AE5703" w:rsidRDefault="00511686" w:rsidP="00791B19">
      <w:pPr>
        <w:spacing w:line="360" w:lineRule="auto"/>
        <w:ind w:right="-7"/>
        <w:jc w:val="both"/>
        <w:rPr>
          <w:rFonts w:cs="Times New Roman"/>
        </w:rPr>
      </w:pPr>
    </w:p>
    <w:sectPr w:rsidR="00511686" w:rsidRPr="00AE5703" w:rsidSect="00FC6171">
      <w:footerReference w:type="even" r:id="rId8"/>
      <w:footerReference w:type="default" r:id="rId9"/>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26ACE1" w14:textId="77777777" w:rsidR="000B431D" w:rsidRDefault="000B431D" w:rsidP="00010CCD">
      <w:r>
        <w:separator/>
      </w:r>
    </w:p>
  </w:endnote>
  <w:endnote w:type="continuationSeparator" w:id="0">
    <w:p w14:paraId="2D00C23D" w14:textId="77777777" w:rsidR="000B431D" w:rsidRDefault="000B431D" w:rsidP="00010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90B70" w14:textId="77777777" w:rsidR="000B431D" w:rsidRDefault="000B431D" w:rsidP="007E50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54D8AB" w14:textId="77777777" w:rsidR="000B431D" w:rsidRDefault="000B431D" w:rsidP="007E50B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7EAA58" w14:textId="77777777" w:rsidR="000B431D" w:rsidRDefault="000B431D" w:rsidP="007E50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D3BFD">
      <w:rPr>
        <w:rStyle w:val="PageNumber"/>
        <w:noProof/>
      </w:rPr>
      <w:t>1</w:t>
    </w:r>
    <w:r>
      <w:rPr>
        <w:rStyle w:val="PageNumber"/>
      </w:rPr>
      <w:fldChar w:fldCharType="end"/>
    </w:r>
  </w:p>
  <w:p w14:paraId="608BC7D9" w14:textId="77777777" w:rsidR="000B431D" w:rsidRDefault="000B431D" w:rsidP="007E50B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B3395C" w14:textId="77777777" w:rsidR="000B431D" w:rsidRDefault="000B431D" w:rsidP="00010CCD">
      <w:r>
        <w:separator/>
      </w:r>
    </w:p>
  </w:footnote>
  <w:footnote w:type="continuationSeparator" w:id="0">
    <w:p w14:paraId="740D5EC9" w14:textId="77777777" w:rsidR="000B431D" w:rsidRDefault="000B431D" w:rsidP="00010CCD">
      <w:r>
        <w:continuationSeparator/>
      </w:r>
    </w:p>
  </w:footnote>
  <w:footnote w:id="1">
    <w:p w14:paraId="3639B157" w14:textId="507AE9A4" w:rsidR="000B431D" w:rsidRPr="001F396E" w:rsidRDefault="000B431D" w:rsidP="001F396E">
      <w:pPr>
        <w:ind w:right="-7"/>
        <w:rPr>
          <w:rFonts w:cs="Times New Roman"/>
          <w:sz w:val="24"/>
          <w:szCs w:val="24"/>
        </w:rPr>
      </w:pPr>
      <w:r>
        <w:rPr>
          <w:rStyle w:val="FootnoteReference"/>
        </w:rPr>
        <w:footnoteRef/>
      </w:r>
      <w:r>
        <w:t xml:space="preserve"> </w:t>
      </w:r>
      <w:r w:rsidRPr="001F396E">
        <w:rPr>
          <w:sz w:val="24"/>
          <w:szCs w:val="24"/>
        </w:rPr>
        <w:t xml:space="preserve">Bernard Lewis, </w:t>
      </w:r>
      <w:r w:rsidRPr="001F396E">
        <w:rPr>
          <w:i/>
          <w:sz w:val="24"/>
          <w:szCs w:val="24"/>
        </w:rPr>
        <w:t>The multiple identities of the Middle East</w:t>
      </w:r>
      <w:r w:rsidRPr="001F396E">
        <w:rPr>
          <w:sz w:val="24"/>
          <w:szCs w:val="24"/>
        </w:rPr>
        <w:t xml:space="preserve"> (New York: Schocken, 1999) p.9</w:t>
      </w:r>
      <w:r>
        <w:rPr>
          <w:sz w:val="24"/>
          <w:szCs w:val="24"/>
        </w:rPr>
        <w:t xml:space="preserve">; </w:t>
      </w:r>
      <w:r w:rsidRPr="001F396E">
        <w:rPr>
          <w:rFonts w:cs="Times New Roman"/>
          <w:sz w:val="24"/>
          <w:szCs w:val="24"/>
        </w:rPr>
        <w:t>Rashid</w:t>
      </w:r>
      <w:r w:rsidRPr="00FF56D2">
        <w:rPr>
          <w:rFonts w:cs="Times New Roman"/>
          <w:sz w:val="24"/>
          <w:szCs w:val="24"/>
        </w:rPr>
        <w:t xml:space="preserve"> Khalidi, </w:t>
      </w:r>
      <w:r w:rsidRPr="00FF56D2">
        <w:rPr>
          <w:rFonts w:cs="Times New Roman"/>
          <w:i/>
          <w:sz w:val="24"/>
          <w:szCs w:val="24"/>
        </w:rPr>
        <w:t>Sowing crisis: the Cold War and American dominance in the Middle East (</w:t>
      </w:r>
      <w:r w:rsidRPr="00FF56D2">
        <w:rPr>
          <w:rFonts w:cs="Times New Roman"/>
          <w:sz w:val="24"/>
          <w:szCs w:val="24"/>
        </w:rPr>
        <w:t xml:space="preserve">Boston: Beacon Press, 2009) p. 264, note 3; see also his ‘The “Middle East” as a framework for analysis: re-mapping a region in the era of globalization’, </w:t>
      </w:r>
      <w:r w:rsidRPr="00FF56D2">
        <w:rPr>
          <w:rFonts w:cs="Times New Roman"/>
          <w:i/>
          <w:sz w:val="24"/>
          <w:szCs w:val="24"/>
        </w:rPr>
        <w:t>Comparative studies of South Asia, Africa and the Middle East</w:t>
      </w:r>
      <w:r w:rsidRPr="00FF56D2">
        <w:rPr>
          <w:rFonts w:cs="Times New Roman"/>
          <w:sz w:val="24"/>
          <w:szCs w:val="24"/>
        </w:rPr>
        <w:t xml:space="preserve"> 18 (1) (1998): 1-8.</w:t>
      </w:r>
    </w:p>
  </w:footnote>
  <w:footnote w:id="2">
    <w:p w14:paraId="097C7410" w14:textId="16933D00" w:rsidR="000B431D" w:rsidRPr="005E794A" w:rsidRDefault="000B431D" w:rsidP="00F83DB5">
      <w:pPr>
        <w:pStyle w:val="FootnoteText"/>
        <w:rPr>
          <w:lang w:val="en-US"/>
        </w:rPr>
      </w:pPr>
      <w:r w:rsidRPr="00394693">
        <w:rPr>
          <w:rStyle w:val="FootnoteReference"/>
        </w:rPr>
        <w:footnoteRef/>
      </w:r>
      <w:r w:rsidRPr="00394693">
        <w:t xml:space="preserve"> </w:t>
      </w:r>
      <w:r w:rsidRPr="00394693">
        <w:rPr>
          <w:rFonts w:ascii="Garamond" w:hAnsi="Garamond"/>
        </w:rPr>
        <w:t xml:space="preserve">Juan Cole, </w:t>
      </w:r>
      <w:r w:rsidRPr="00394693">
        <w:rPr>
          <w:rFonts w:ascii="Garamond" w:hAnsi="Garamond"/>
          <w:i/>
        </w:rPr>
        <w:t>Napoleon’s Egy</w:t>
      </w:r>
      <w:r w:rsidRPr="00791B19">
        <w:rPr>
          <w:rFonts w:ascii="Garamond" w:hAnsi="Garamond"/>
          <w:i/>
        </w:rPr>
        <w:t>pt: invading the Middle East</w:t>
      </w:r>
      <w:r>
        <w:rPr>
          <w:rFonts w:ascii="Garamond" w:hAnsi="Garamond"/>
          <w:i/>
        </w:rPr>
        <w:t xml:space="preserve"> (</w:t>
      </w:r>
      <w:r w:rsidRPr="00791B19">
        <w:rPr>
          <w:rFonts w:ascii="Garamond" w:hAnsi="Garamond"/>
        </w:rPr>
        <w:t>New York: Palgrave Macmillan</w:t>
      </w:r>
      <w:r>
        <w:rPr>
          <w:rFonts w:ascii="Garamond" w:hAnsi="Garamond"/>
        </w:rPr>
        <w:t>, 2007).</w:t>
      </w:r>
    </w:p>
  </w:footnote>
  <w:footnote w:id="3">
    <w:p w14:paraId="017A7C93" w14:textId="7716A6DB" w:rsidR="000B431D" w:rsidRPr="00254264" w:rsidRDefault="000B431D">
      <w:pPr>
        <w:pStyle w:val="FootnoteText"/>
        <w:rPr>
          <w:lang w:val="en-US"/>
        </w:rPr>
      </w:pPr>
      <w:r>
        <w:rPr>
          <w:rStyle w:val="FootnoteReference"/>
        </w:rPr>
        <w:footnoteRef/>
      </w:r>
      <w:r>
        <w:t xml:space="preserve"> </w:t>
      </w:r>
      <w:r>
        <w:rPr>
          <w:lang w:val="en-US"/>
        </w:rPr>
        <w:t xml:space="preserve">I say ‘distinctively modern’ because there were, as Said shows, much older versions of Orientalism that reach back to the classical world and the chronic antagonisms between the Greek city-states and the Persian empire.  Said does not treat Orientalism as unchanging, therefore, but is concerned to trace its historical curve and, in particular, its modern genealogy.  This does not mean that the world changed forever in 1798, any more than it did in 2001, and there are also powerful continuities.  Said argues that Aeschylus’s </w:t>
      </w:r>
      <w:r w:rsidRPr="00010239">
        <w:rPr>
          <w:i/>
          <w:lang w:val="en-US"/>
        </w:rPr>
        <w:t>Pericles</w:t>
      </w:r>
      <w:r>
        <w:rPr>
          <w:lang w:val="en-US"/>
        </w:rPr>
        <w:t xml:space="preserve"> and Euripides’ </w:t>
      </w:r>
      <w:r w:rsidRPr="00010239">
        <w:rPr>
          <w:i/>
          <w:lang w:val="en-US"/>
        </w:rPr>
        <w:t>The Bacchae</w:t>
      </w:r>
      <w:r>
        <w:rPr>
          <w:lang w:val="en-US"/>
        </w:rPr>
        <w:t xml:space="preserve"> established two ‘essential motifs’ in European imaginative geography.  First, ‘a line is drawn between two continents.  Europe is powerful and articulate; Asia is defeated and distant.’  But second, even as Europe articulates this Orient, its capricious object always threatens to exceed the space of its articulation and articulates ‘the motif of the Orient as insinuating danger’. See Edward Said, </w:t>
      </w:r>
      <w:r w:rsidRPr="00010239">
        <w:rPr>
          <w:i/>
          <w:lang w:val="en-US"/>
        </w:rPr>
        <w:t>Orientalism</w:t>
      </w:r>
      <w:r>
        <w:rPr>
          <w:lang w:val="en-US"/>
        </w:rPr>
        <w:t xml:space="preserve"> (London: Penguin, 1978) p. 57.</w:t>
      </w:r>
    </w:p>
  </w:footnote>
  <w:footnote w:id="4">
    <w:p w14:paraId="14267D66" w14:textId="4144A384" w:rsidR="000B431D" w:rsidRPr="001B68CF" w:rsidRDefault="000B431D">
      <w:pPr>
        <w:pStyle w:val="FootnoteText"/>
        <w:rPr>
          <w:lang w:val="en-US"/>
        </w:rPr>
      </w:pPr>
      <w:r>
        <w:rPr>
          <w:rStyle w:val="FootnoteReference"/>
        </w:rPr>
        <w:footnoteRef/>
      </w:r>
      <w:r>
        <w:t xml:space="preserve"> </w:t>
      </w:r>
      <w:r>
        <w:rPr>
          <w:lang w:val="en-US"/>
        </w:rPr>
        <w:t>Said, Orientalism, p. 103.</w:t>
      </w:r>
    </w:p>
  </w:footnote>
  <w:footnote w:id="5">
    <w:p w14:paraId="17232663" w14:textId="31B049A8" w:rsidR="000B431D" w:rsidRPr="001B68CF" w:rsidRDefault="000B431D">
      <w:pPr>
        <w:pStyle w:val="FootnoteText"/>
        <w:rPr>
          <w:lang w:val="en-US"/>
        </w:rPr>
      </w:pPr>
      <w:r>
        <w:rPr>
          <w:rStyle w:val="FootnoteReference"/>
        </w:rPr>
        <w:footnoteRef/>
      </w:r>
      <w:r>
        <w:t xml:space="preserve"> </w:t>
      </w:r>
      <w:r>
        <w:rPr>
          <w:lang w:val="en-US"/>
        </w:rPr>
        <w:t xml:space="preserve">Timothy Mitchell, </w:t>
      </w:r>
      <w:r w:rsidRPr="001B68CF">
        <w:rPr>
          <w:i/>
          <w:lang w:val="en-US"/>
        </w:rPr>
        <w:t>Colonising Egypt</w:t>
      </w:r>
      <w:r>
        <w:rPr>
          <w:lang w:val="en-US"/>
        </w:rPr>
        <w:t xml:space="preserve"> (Cambridge: Cambridge University Press, 1988); Mitchell develops these themes even more brilliantly in his </w:t>
      </w:r>
      <w:r w:rsidRPr="001759EB">
        <w:rPr>
          <w:i/>
          <w:lang w:val="en-US"/>
        </w:rPr>
        <w:t>Rule of experts: Egypt, technology, modernity</w:t>
      </w:r>
      <w:r>
        <w:rPr>
          <w:lang w:val="en-US"/>
        </w:rPr>
        <w:t xml:space="preserve"> (Berkeley CA: University of California Press, 2002).</w:t>
      </w:r>
    </w:p>
  </w:footnote>
  <w:footnote w:id="6">
    <w:p w14:paraId="0F3FCBE8" w14:textId="00A76389" w:rsidR="000B431D" w:rsidRDefault="000B431D" w:rsidP="00F83DB5">
      <w:pPr>
        <w:pStyle w:val="FootnoteText"/>
      </w:pPr>
      <w:r>
        <w:rPr>
          <w:rStyle w:val="FootnoteReference"/>
        </w:rPr>
        <w:footnoteRef/>
      </w:r>
      <w:r>
        <w:t xml:space="preserve"> Said, Orientalism, p. 41.  Converting ‘queer’ into ‘straight’ was only one axis through which Orientalism turned its object into one of desire, at once sexualized and eroticised.</w:t>
      </w:r>
    </w:p>
  </w:footnote>
  <w:footnote w:id="7">
    <w:p w14:paraId="7998FAC7" w14:textId="48BD5275" w:rsidR="000B431D" w:rsidRDefault="000B431D" w:rsidP="00F83DB5">
      <w:pPr>
        <w:pStyle w:val="FootnoteText"/>
      </w:pPr>
      <w:r>
        <w:rPr>
          <w:rStyle w:val="FootnoteReference"/>
        </w:rPr>
        <w:footnoteRef/>
      </w:r>
      <w:r>
        <w:t xml:space="preserve"> David Bell, </w:t>
      </w:r>
      <w:r w:rsidRPr="0057632C">
        <w:rPr>
          <w:i/>
        </w:rPr>
        <w:t>The first total war: Napoleon’s Europe and the birth of warfare as we know it</w:t>
      </w:r>
      <w:r>
        <w:t xml:space="preserve"> (Boston: Houghton Mifflin, 2007).  </w:t>
      </w:r>
    </w:p>
  </w:footnote>
  <w:footnote w:id="8">
    <w:p w14:paraId="7CD98B9E" w14:textId="77777777" w:rsidR="000B431D" w:rsidRDefault="000B431D" w:rsidP="00F83DB5">
      <w:pPr>
        <w:pStyle w:val="FootnoteText"/>
      </w:pPr>
      <w:r>
        <w:rPr>
          <w:rStyle w:val="FootnoteReference"/>
        </w:rPr>
        <w:footnoteRef/>
      </w:r>
      <w:r>
        <w:t xml:space="preserve"> Said, Orientalism, p. 82; Abd al-Rahman al-Jabarti, </w:t>
      </w:r>
      <w:r>
        <w:rPr>
          <w:i/>
        </w:rPr>
        <w:t>Journal d’un notable du Caire durant l’expédition française 1798-1801</w:t>
      </w:r>
      <w:r>
        <w:t xml:space="preserve"> (trans. Joseph Cucocq), Paris: Albin Michel, 1979.  In fact, Jabarti provided three different accounts of the occupation: see André Raymond, </w:t>
      </w:r>
      <w:r>
        <w:rPr>
          <w:i/>
        </w:rPr>
        <w:t>Égyptiens et français au Caire, 1798-1801</w:t>
      </w:r>
      <w:r>
        <w:t>, Cairo: Institut Français d’Archéologie Orientale, 1998, pp. 3-5.</w:t>
      </w:r>
    </w:p>
  </w:footnote>
  <w:footnote w:id="9">
    <w:p w14:paraId="1212252D" w14:textId="352A085A" w:rsidR="000B431D" w:rsidRPr="00EB11D6" w:rsidRDefault="000B431D">
      <w:pPr>
        <w:pStyle w:val="FootnoteText"/>
        <w:rPr>
          <w:lang w:val="en-US"/>
        </w:rPr>
      </w:pPr>
      <w:r>
        <w:rPr>
          <w:rStyle w:val="FootnoteReference"/>
        </w:rPr>
        <w:footnoteRef/>
      </w:r>
      <w:r>
        <w:t xml:space="preserve"> </w:t>
      </w:r>
      <w:r>
        <w:rPr>
          <w:lang w:val="en-US"/>
        </w:rPr>
        <w:t xml:space="preserve">Derek Gregory, ‘Dis/Ordering the Orient: scopic regimes and modern war’, in Tarak Barkawi and Keith Stanski (eds), </w:t>
      </w:r>
      <w:r w:rsidRPr="00EB11D6">
        <w:rPr>
          <w:i/>
          <w:lang w:val="en-US"/>
        </w:rPr>
        <w:t>Orientalism and war</w:t>
      </w:r>
      <w:r>
        <w:rPr>
          <w:lang w:val="en-US"/>
        </w:rPr>
        <w:t xml:space="preserve"> (London: Hurst, 2012) pp. 147-171; see also Derek Gregory, ‘Seeing Red: Baghdad and the event-ful city’, </w:t>
      </w:r>
      <w:r w:rsidRPr="00EB11D6">
        <w:rPr>
          <w:i/>
          <w:lang w:val="en-US"/>
        </w:rPr>
        <w:t>Political Geography</w:t>
      </w:r>
      <w:r>
        <w:rPr>
          <w:lang w:val="en-US"/>
        </w:rPr>
        <w:t xml:space="preserve"> 29 (2010) 266-79.</w:t>
      </w:r>
    </w:p>
  </w:footnote>
  <w:footnote w:id="10">
    <w:p w14:paraId="617D54B7" w14:textId="63E08689" w:rsidR="000B431D" w:rsidRPr="00274C96" w:rsidRDefault="000B431D">
      <w:pPr>
        <w:pStyle w:val="FootnoteText"/>
        <w:rPr>
          <w:lang w:val="en-US"/>
        </w:rPr>
      </w:pPr>
      <w:r>
        <w:rPr>
          <w:rStyle w:val="FootnoteReference"/>
        </w:rPr>
        <w:footnoteRef/>
      </w:r>
      <w:r>
        <w:t xml:space="preserve"> </w:t>
      </w:r>
      <w:r>
        <w:rPr>
          <w:lang w:val="en-US"/>
        </w:rPr>
        <w:t xml:space="preserve">Commerce between Europe and these lands had a much longer history, and if Michael McCormick is to be believed, it was instrumental in the emergence and (re)formation of a European economy after the fall of the Roman Empire: see his </w:t>
      </w:r>
      <w:r w:rsidRPr="00274C96">
        <w:rPr>
          <w:i/>
          <w:lang w:val="en-US"/>
        </w:rPr>
        <w:t>Origins of the European economy: communications and commerce AD 300-900</w:t>
      </w:r>
      <w:r>
        <w:rPr>
          <w:lang w:val="en-US"/>
        </w:rPr>
        <w:t xml:space="preserve"> (Cambridge: Cambridge University Press, 2001).  The expansion of Islam did not ‘apply the coup de grace to a moribund late Roman system’, as an older generation of historians had argued, but on his reading ‘offered the wealth and markets which would fire the first [medieval] rise of Europe.’</w:t>
      </w:r>
    </w:p>
  </w:footnote>
  <w:footnote w:id="11">
    <w:p w14:paraId="37E1D3DE" w14:textId="3CC50974" w:rsidR="000B431D" w:rsidRPr="008B31B5" w:rsidRDefault="000B431D" w:rsidP="00F83DB5">
      <w:pPr>
        <w:pStyle w:val="FootnoteText"/>
        <w:rPr>
          <w:lang w:val="en-US"/>
        </w:rPr>
      </w:pPr>
      <w:r>
        <w:rPr>
          <w:rStyle w:val="FootnoteReference"/>
        </w:rPr>
        <w:footnoteRef/>
      </w:r>
      <w:r>
        <w:t xml:space="preserve"> </w:t>
      </w:r>
      <w:r>
        <w:rPr>
          <w:lang w:val="en-US"/>
        </w:rPr>
        <w:t xml:space="preserve">Philip Mansel, </w:t>
      </w:r>
      <w:r w:rsidRPr="007E50BB">
        <w:rPr>
          <w:i/>
          <w:lang w:val="en-US"/>
        </w:rPr>
        <w:t>Levant: splendour and catastrophe on the Mediterranean</w:t>
      </w:r>
      <w:r>
        <w:rPr>
          <w:lang w:val="en-US"/>
        </w:rPr>
        <w:t xml:space="preserve"> (London: John Murray, 2010); </w:t>
      </w:r>
      <w:r>
        <w:t xml:space="preserve">Thomas </w:t>
      </w:r>
      <w:r>
        <w:rPr>
          <w:szCs w:val="28"/>
        </w:rPr>
        <w:t>Scheffler, ‘“</w:t>
      </w:r>
      <w:r w:rsidRPr="00723B98">
        <w:rPr>
          <w:szCs w:val="28"/>
        </w:rPr>
        <w:t>Fert</w:t>
      </w:r>
      <w:r>
        <w:rPr>
          <w:szCs w:val="28"/>
        </w:rPr>
        <w:t>ile Crescent”, “Orient”, “Middle East”</w:t>
      </w:r>
      <w:r w:rsidRPr="00723B98">
        <w:rPr>
          <w:szCs w:val="28"/>
        </w:rPr>
        <w:t>: the changing mental maps of southwest Asia</w:t>
      </w:r>
      <w:r>
        <w:rPr>
          <w:szCs w:val="28"/>
        </w:rPr>
        <w:t>’,</w:t>
      </w:r>
      <w:r w:rsidRPr="00723B98">
        <w:rPr>
          <w:szCs w:val="28"/>
        </w:rPr>
        <w:t xml:space="preserve"> </w:t>
      </w:r>
      <w:r>
        <w:rPr>
          <w:i/>
          <w:szCs w:val="28"/>
        </w:rPr>
        <w:t>European review of history,</w:t>
      </w:r>
      <w:r>
        <w:rPr>
          <w:szCs w:val="28"/>
        </w:rPr>
        <w:t xml:space="preserve"> 10 (2003) 253-72: 261</w:t>
      </w:r>
      <w:r>
        <w:rPr>
          <w:lang w:val="en-US"/>
        </w:rPr>
        <w:t>.</w:t>
      </w:r>
    </w:p>
  </w:footnote>
  <w:footnote w:id="12">
    <w:p w14:paraId="31280DD7" w14:textId="704F8302" w:rsidR="000B431D" w:rsidRPr="0044707D" w:rsidRDefault="000B431D">
      <w:pPr>
        <w:pStyle w:val="FootnoteText"/>
        <w:rPr>
          <w:lang w:val="en-US"/>
        </w:rPr>
      </w:pPr>
      <w:r>
        <w:rPr>
          <w:rStyle w:val="FootnoteReference"/>
        </w:rPr>
        <w:footnoteRef/>
      </w:r>
      <w:r>
        <w:t xml:space="preserve"> Huseyin Yilmaz has traced a much older, more diffuse European genealogy of a ‘Middle East’ in other languages, including references to a </w:t>
      </w:r>
      <w:r w:rsidRPr="00BF1AE9">
        <w:rPr>
          <w:i/>
        </w:rPr>
        <w:t>medio Oriente</w:t>
      </w:r>
      <w:r>
        <w:t xml:space="preserve"> in Spanish from the fifteenth century, in Italian and French from the seventeenth century, and to a </w:t>
      </w:r>
      <w:r w:rsidRPr="00BF1AE9">
        <w:rPr>
          <w:i/>
        </w:rPr>
        <w:t>Mittler Orient</w:t>
      </w:r>
      <w:r>
        <w:t xml:space="preserve"> (meaning Persia) in German from the nineteenth ccntury: ‘The Eastern Question and the Ottoman Empire: the genesis of the Near and Middle East in the nineteenth century’, in Michael Bonine, Abbas Amanat and Michael Ezekiel Gasper (eds), </w:t>
      </w:r>
      <w:r w:rsidRPr="00BF1AE9">
        <w:rPr>
          <w:i/>
        </w:rPr>
        <w:t xml:space="preserve">Is there a Middle East?  The evolution of a geopolitical concept </w:t>
      </w:r>
      <w:r>
        <w:t>(Stanford: Stanford University Press, 2012) pp. 11-35.</w:t>
      </w:r>
    </w:p>
  </w:footnote>
  <w:footnote w:id="13">
    <w:p w14:paraId="1B13656A" w14:textId="7F31D6AE" w:rsidR="000B431D" w:rsidRPr="00DF686B" w:rsidRDefault="000B431D" w:rsidP="00DF686B">
      <w:pPr>
        <w:ind w:right="-7"/>
        <w:jc w:val="both"/>
        <w:rPr>
          <w:rFonts w:cs="Times New Roman"/>
          <w:sz w:val="24"/>
          <w:szCs w:val="24"/>
        </w:rPr>
      </w:pPr>
      <w:r w:rsidRPr="00DF686B">
        <w:rPr>
          <w:rStyle w:val="FootnoteReference"/>
          <w:sz w:val="24"/>
          <w:szCs w:val="24"/>
        </w:rPr>
        <w:footnoteRef/>
      </w:r>
      <w:r w:rsidRPr="00DF686B">
        <w:rPr>
          <w:sz w:val="24"/>
          <w:szCs w:val="24"/>
        </w:rPr>
        <w:t xml:space="preserve"> </w:t>
      </w:r>
      <w:r w:rsidRPr="00DF686B">
        <w:rPr>
          <w:sz w:val="24"/>
          <w:szCs w:val="24"/>
          <w:lang w:val="en-US"/>
        </w:rPr>
        <w:t xml:space="preserve">Thomas Gordon, ‘The Problem of the Middle East’, </w:t>
      </w:r>
      <w:r w:rsidRPr="00DF686B">
        <w:rPr>
          <w:i/>
          <w:iCs/>
          <w:sz w:val="24"/>
          <w:szCs w:val="24"/>
          <w:lang w:val="en-US"/>
        </w:rPr>
        <w:t>The Nineteenth Century</w:t>
      </w:r>
      <w:r w:rsidRPr="00DF686B">
        <w:rPr>
          <w:sz w:val="24"/>
          <w:szCs w:val="24"/>
          <w:lang w:val="en-US"/>
        </w:rPr>
        <w:t xml:space="preserve"> 47 (1900) 413-424; </w:t>
      </w:r>
      <w:r>
        <w:rPr>
          <w:sz w:val="24"/>
          <w:szCs w:val="24"/>
          <w:lang w:val="en-US"/>
        </w:rPr>
        <w:t xml:space="preserve">Karen </w:t>
      </w:r>
      <w:r>
        <w:rPr>
          <w:rFonts w:cs="Times New Roman"/>
          <w:sz w:val="24"/>
          <w:szCs w:val="24"/>
        </w:rPr>
        <w:t xml:space="preserve">Culcasi </w:t>
      </w:r>
      <w:r w:rsidRPr="00DF686B">
        <w:rPr>
          <w:rFonts w:cs="Times New Roman"/>
          <w:sz w:val="24"/>
          <w:szCs w:val="24"/>
        </w:rPr>
        <w:t xml:space="preserve">‘Constructing and naturalizing the Middle East’, </w:t>
      </w:r>
      <w:r w:rsidRPr="00DF686B">
        <w:rPr>
          <w:rFonts w:cs="Times New Roman"/>
          <w:i/>
          <w:sz w:val="24"/>
          <w:szCs w:val="24"/>
        </w:rPr>
        <w:t>Geographical Review</w:t>
      </w:r>
      <w:r>
        <w:rPr>
          <w:rFonts w:cs="Times New Roman"/>
          <w:sz w:val="24"/>
          <w:szCs w:val="24"/>
        </w:rPr>
        <w:t xml:space="preserve"> 100 (2010) 583-97</w:t>
      </w:r>
      <w:r w:rsidRPr="00DF686B">
        <w:rPr>
          <w:rFonts w:cs="Times New Roman"/>
          <w:sz w:val="24"/>
          <w:szCs w:val="24"/>
        </w:rPr>
        <w:t>: 585</w:t>
      </w:r>
      <w:r w:rsidRPr="009516E0">
        <w:rPr>
          <w:lang w:val="en-US"/>
        </w:rPr>
        <w:t>.</w:t>
      </w:r>
    </w:p>
  </w:footnote>
  <w:footnote w:id="14">
    <w:p w14:paraId="7AABFBCD" w14:textId="1EB75A2E" w:rsidR="000B431D" w:rsidRPr="00ED5571" w:rsidRDefault="000B431D">
      <w:pPr>
        <w:pStyle w:val="FootnoteText"/>
        <w:rPr>
          <w:lang w:val="en-US"/>
        </w:rPr>
      </w:pPr>
      <w:r>
        <w:rPr>
          <w:rStyle w:val="FootnoteReference"/>
        </w:rPr>
        <w:footnoteRef/>
      </w:r>
      <w:r>
        <w:t xml:space="preserve"> </w:t>
      </w:r>
      <w:r>
        <w:rPr>
          <w:lang w:val="en-US"/>
        </w:rPr>
        <w:t xml:space="preserve">Construction of the railway began in 1903, but the project was bedevilled by financial difficulties, technical problems and – by no means least – the First World War; it was not completed until 1940: see </w:t>
      </w:r>
      <w:r w:rsidRPr="00ED5571">
        <w:rPr>
          <w:lang w:val="en-US"/>
        </w:rPr>
        <w:t>Sean McMe</w:t>
      </w:r>
      <w:r>
        <w:rPr>
          <w:lang w:val="en-US"/>
        </w:rPr>
        <w:t xml:space="preserve">ekin, </w:t>
      </w:r>
      <w:r w:rsidRPr="00787455">
        <w:rPr>
          <w:i/>
          <w:lang w:val="en-US"/>
        </w:rPr>
        <w:t>The Berlin-Baghdad Express: the Ottoman Empire and Germany’s bid for world power, 1898-1918</w:t>
      </w:r>
      <w:r>
        <w:rPr>
          <w:lang w:val="en-US"/>
        </w:rPr>
        <w:t xml:space="preserve"> (London: Allen Lane, </w:t>
      </w:r>
      <w:r w:rsidRPr="00ED5571">
        <w:rPr>
          <w:lang w:val="en-US"/>
        </w:rPr>
        <w:t>2010</w:t>
      </w:r>
      <w:r>
        <w:rPr>
          <w:lang w:val="en-US"/>
        </w:rPr>
        <w:t xml:space="preserve">). </w:t>
      </w:r>
    </w:p>
  </w:footnote>
  <w:footnote w:id="15">
    <w:p w14:paraId="78125964" w14:textId="55786D96" w:rsidR="000B431D" w:rsidRPr="00CA7A40" w:rsidRDefault="000B431D">
      <w:pPr>
        <w:pStyle w:val="FootnoteText"/>
        <w:rPr>
          <w:lang w:val="en-US"/>
        </w:rPr>
      </w:pPr>
      <w:r>
        <w:rPr>
          <w:rStyle w:val="FootnoteReference"/>
        </w:rPr>
        <w:footnoteRef/>
      </w:r>
      <w:r>
        <w:t xml:space="preserve"> Alfred T. </w:t>
      </w:r>
      <w:r>
        <w:rPr>
          <w:rFonts w:cs="Times New Roman"/>
        </w:rPr>
        <w:t xml:space="preserve">Mahan, </w:t>
      </w:r>
      <w:r w:rsidRPr="00622352">
        <w:rPr>
          <w:rFonts w:cs="Times New Roman"/>
        </w:rPr>
        <w:t xml:space="preserve">‘The Persian Gulf and international relations’, </w:t>
      </w:r>
      <w:r w:rsidRPr="00622352">
        <w:rPr>
          <w:rFonts w:cs="Times New Roman"/>
          <w:i/>
        </w:rPr>
        <w:t>National Review</w:t>
      </w:r>
      <w:r w:rsidRPr="00622352">
        <w:rPr>
          <w:rFonts w:cs="Times New Roman"/>
        </w:rPr>
        <w:t xml:space="preserve"> (September) (1902) 27-45</w:t>
      </w:r>
      <w:r>
        <w:rPr>
          <w:rFonts w:cs="Times New Roman"/>
        </w:rPr>
        <w:t xml:space="preserve">.  </w:t>
      </w:r>
      <w:r>
        <w:rPr>
          <w:lang w:val="en-US"/>
        </w:rPr>
        <w:t xml:space="preserve">Mahan took a close interest in naval history and geopolitics, and while at the US Naval War College he published </w:t>
      </w:r>
      <w:r w:rsidRPr="00CA7A40">
        <w:rPr>
          <w:i/>
          <w:lang w:val="en-US"/>
        </w:rPr>
        <w:t>The influence of sea power upon history 1660-1783</w:t>
      </w:r>
      <w:r>
        <w:rPr>
          <w:lang w:val="en-US"/>
        </w:rPr>
        <w:t xml:space="preserve"> (1890).</w:t>
      </w:r>
    </w:p>
  </w:footnote>
  <w:footnote w:id="16">
    <w:p w14:paraId="1D7FF188" w14:textId="1A452741" w:rsidR="000B431D" w:rsidRPr="00053502" w:rsidRDefault="000B431D">
      <w:pPr>
        <w:pStyle w:val="FootnoteText"/>
        <w:rPr>
          <w:lang w:val="en-US"/>
        </w:rPr>
      </w:pPr>
      <w:r>
        <w:rPr>
          <w:rStyle w:val="FootnoteReference"/>
        </w:rPr>
        <w:footnoteRef/>
      </w:r>
      <w:r>
        <w:t xml:space="preserve"> </w:t>
      </w:r>
      <w:r>
        <w:rPr>
          <w:lang w:val="en-US"/>
        </w:rPr>
        <w:t xml:space="preserve">Morris Jastow </w:t>
      </w:r>
      <w:r w:rsidRPr="00AF6D0E">
        <w:rPr>
          <w:i/>
          <w:lang w:val="en-US"/>
        </w:rPr>
        <w:t xml:space="preserve">The War and the Bagdad Railway: the story of Asia Minor and its relation to the present conflict </w:t>
      </w:r>
      <w:r>
        <w:rPr>
          <w:lang w:val="en-US"/>
        </w:rPr>
        <w:t>(London and Philadelphia: J.B. Lippincott, 1917; second edition 1918) p. 97.</w:t>
      </w:r>
    </w:p>
  </w:footnote>
  <w:footnote w:id="17">
    <w:p w14:paraId="1A960470" w14:textId="57AB2AF8" w:rsidR="000B431D" w:rsidRPr="007608AD" w:rsidRDefault="000B431D">
      <w:pPr>
        <w:pStyle w:val="FootnoteText"/>
        <w:rPr>
          <w:lang w:val="en-US"/>
        </w:rPr>
      </w:pPr>
      <w:r>
        <w:rPr>
          <w:rStyle w:val="FootnoteReference"/>
        </w:rPr>
        <w:footnoteRef/>
      </w:r>
      <w:r>
        <w:rPr>
          <w:szCs w:val="28"/>
        </w:rPr>
        <w:t xml:space="preserve">James </w:t>
      </w:r>
      <w:r w:rsidRPr="00E01CA1">
        <w:t xml:space="preserve">Renton, ‘Changing languages of empire and the Orient: Britain and the invention of the Middle East, 1917-1918’, </w:t>
      </w:r>
      <w:r w:rsidRPr="00E01CA1">
        <w:rPr>
          <w:i/>
        </w:rPr>
        <w:t>Historical Journal</w:t>
      </w:r>
      <w:r>
        <w:t xml:space="preserve"> 50 (2007) </w:t>
      </w:r>
      <w:r w:rsidRPr="00E01CA1">
        <w:t>645-667</w:t>
      </w:r>
      <w:r>
        <w:t>:</w:t>
      </w:r>
      <w:r>
        <w:rPr>
          <w:lang w:val="en-US"/>
        </w:rPr>
        <w:t xml:space="preserve"> 649; see also Roger Adelson, </w:t>
      </w:r>
      <w:r w:rsidRPr="007608AD">
        <w:rPr>
          <w:i/>
          <w:lang w:val="en-US"/>
        </w:rPr>
        <w:t>London and the invention of the Middle East: money, power and war, 1902-1922</w:t>
      </w:r>
      <w:r>
        <w:rPr>
          <w:lang w:val="en-US"/>
        </w:rPr>
        <w:t xml:space="preserve"> (New Haven: Yale University Press, 1995).</w:t>
      </w:r>
    </w:p>
  </w:footnote>
  <w:footnote w:id="18">
    <w:p w14:paraId="103D2572" w14:textId="12798289" w:rsidR="000B431D" w:rsidRPr="00C71867" w:rsidRDefault="000B431D">
      <w:pPr>
        <w:pStyle w:val="FootnoteText"/>
        <w:rPr>
          <w:lang w:val="en-US"/>
        </w:rPr>
      </w:pPr>
      <w:r>
        <w:rPr>
          <w:rStyle w:val="FootnoteReference"/>
        </w:rPr>
        <w:footnoteRef/>
      </w:r>
      <w:r>
        <w:t xml:space="preserve"> Gregory, ‘Seeing Red’.</w:t>
      </w:r>
    </w:p>
  </w:footnote>
  <w:footnote w:id="19">
    <w:p w14:paraId="4A083D50" w14:textId="6B8F0735" w:rsidR="000B431D" w:rsidRPr="00D355EA" w:rsidRDefault="000B431D" w:rsidP="009F7F82">
      <w:pPr>
        <w:pStyle w:val="FootnoteText"/>
        <w:rPr>
          <w:lang w:val="en-US"/>
        </w:rPr>
      </w:pPr>
      <w:r>
        <w:rPr>
          <w:rStyle w:val="FootnoteReference"/>
        </w:rPr>
        <w:footnoteRef/>
      </w:r>
      <w:r>
        <w:rPr>
          <w:lang w:val="en-US"/>
        </w:rPr>
        <w:t xml:space="preserve"> Renton, ‘Changing languages’, p. 653.</w:t>
      </w:r>
    </w:p>
  </w:footnote>
  <w:footnote w:id="20">
    <w:p w14:paraId="56512BA3" w14:textId="4690F6B1" w:rsidR="000B431D" w:rsidRPr="00034180" w:rsidRDefault="000B431D" w:rsidP="00034180">
      <w:pPr>
        <w:ind w:right="-7"/>
        <w:jc w:val="both"/>
        <w:rPr>
          <w:rFonts w:cs="Times New Roman"/>
          <w:sz w:val="24"/>
          <w:szCs w:val="24"/>
        </w:rPr>
      </w:pPr>
      <w:r w:rsidRPr="00034180">
        <w:rPr>
          <w:rStyle w:val="FootnoteReference"/>
          <w:sz w:val="24"/>
          <w:szCs w:val="24"/>
        </w:rPr>
        <w:footnoteRef/>
      </w:r>
      <w:r>
        <w:t xml:space="preserve"> </w:t>
      </w:r>
      <w:r w:rsidRPr="00034180">
        <w:rPr>
          <w:rFonts w:cs="Times New Roman"/>
          <w:sz w:val="24"/>
          <w:szCs w:val="24"/>
        </w:rPr>
        <w:t>During the First World War British political and military interests in Egypt, Palestine, Western Arabia and ultimately Syria were controlled through Cairo, while those in Persia, the Gulf, Mesopotamia and Eastern Arabia were controlled through New Delhi.</w:t>
      </w:r>
    </w:p>
  </w:footnote>
  <w:footnote w:id="21">
    <w:p w14:paraId="19B57DEF" w14:textId="20751883" w:rsidR="000B431D" w:rsidRPr="00B01E12" w:rsidRDefault="000B431D" w:rsidP="00B01E12">
      <w:pPr>
        <w:ind w:right="-7"/>
        <w:jc w:val="both"/>
        <w:rPr>
          <w:rFonts w:cs="Times New Roman"/>
          <w:sz w:val="24"/>
          <w:szCs w:val="24"/>
        </w:rPr>
      </w:pPr>
      <w:r>
        <w:rPr>
          <w:rStyle w:val="FootnoteReference"/>
        </w:rPr>
        <w:footnoteRef/>
      </w:r>
      <w:r>
        <w:t xml:space="preserve"> </w:t>
      </w:r>
      <w:r w:rsidRPr="00622352">
        <w:rPr>
          <w:sz w:val="24"/>
          <w:szCs w:val="24"/>
        </w:rPr>
        <w:t xml:space="preserve">For a detailed account of the intrigue surrounding the Sykes-Picot agreement and its </w:t>
      </w:r>
      <w:r>
        <w:rPr>
          <w:sz w:val="24"/>
          <w:szCs w:val="24"/>
        </w:rPr>
        <w:t xml:space="preserve">devastating </w:t>
      </w:r>
      <w:r w:rsidRPr="00622352">
        <w:rPr>
          <w:sz w:val="24"/>
          <w:szCs w:val="24"/>
        </w:rPr>
        <w:t>consequences</w:t>
      </w:r>
      <w:r>
        <w:t xml:space="preserve"> </w:t>
      </w:r>
      <w:r w:rsidRPr="00622352">
        <w:rPr>
          <w:sz w:val="24"/>
          <w:szCs w:val="24"/>
        </w:rPr>
        <w:t>over the next thirty years, see</w:t>
      </w:r>
      <w:r>
        <w:t xml:space="preserve"> </w:t>
      </w:r>
      <w:r w:rsidRPr="00865F3D">
        <w:rPr>
          <w:rFonts w:cs="Times New Roman"/>
          <w:sz w:val="24"/>
          <w:szCs w:val="24"/>
        </w:rPr>
        <w:t>Jame</w:t>
      </w:r>
      <w:r>
        <w:rPr>
          <w:rFonts w:cs="Times New Roman"/>
          <w:sz w:val="24"/>
          <w:szCs w:val="24"/>
        </w:rPr>
        <w:t>s Barr</w:t>
      </w:r>
      <w:r w:rsidRPr="00865F3D">
        <w:rPr>
          <w:rFonts w:cs="Times New Roman"/>
          <w:i/>
          <w:sz w:val="24"/>
          <w:szCs w:val="24"/>
        </w:rPr>
        <w:t>, A Line in the Sand: Britain, France and the struggle for the mastery of the Middle East</w:t>
      </w:r>
      <w:r>
        <w:rPr>
          <w:rFonts w:cs="Times New Roman"/>
          <w:sz w:val="24"/>
          <w:szCs w:val="24"/>
        </w:rPr>
        <w:t xml:space="preserve"> (</w:t>
      </w:r>
      <w:r w:rsidRPr="00865F3D">
        <w:rPr>
          <w:rFonts w:cs="Times New Roman"/>
          <w:sz w:val="24"/>
          <w:szCs w:val="24"/>
        </w:rPr>
        <w:t>New York: Simon &amp; Schuster, 2011</w:t>
      </w:r>
      <w:r>
        <w:rPr>
          <w:rFonts w:cs="Times New Roman"/>
          <w:sz w:val="24"/>
          <w:szCs w:val="24"/>
        </w:rPr>
        <w:t>)</w:t>
      </w:r>
      <w:r w:rsidRPr="00865F3D">
        <w:rPr>
          <w:rFonts w:cs="Times New Roman"/>
          <w:sz w:val="24"/>
          <w:szCs w:val="24"/>
        </w:rPr>
        <w:t>.</w:t>
      </w:r>
    </w:p>
  </w:footnote>
  <w:footnote w:id="22">
    <w:p w14:paraId="5C009675" w14:textId="006C4959" w:rsidR="000B431D" w:rsidRPr="00B01E12" w:rsidRDefault="000B431D">
      <w:pPr>
        <w:pStyle w:val="FootnoteText"/>
        <w:rPr>
          <w:lang w:val="en-US"/>
        </w:rPr>
      </w:pPr>
      <w:r>
        <w:rPr>
          <w:rStyle w:val="FootnoteReference"/>
        </w:rPr>
        <w:footnoteRef/>
      </w:r>
      <w:r>
        <w:t xml:space="preserve"> Oil was discovered in Persia in 1908, in Mesopotamia in 1927 and in Saudi Arabia in 1938.  </w:t>
      </w:r>
      <w:r>
        <w:rPr>
          <w:lang w:val="en-US"/>
        </w:rPr>
        <w:t xml:space="preserve">For an illuminating revision of the standard history of oil in the Middle East, see Timothy Mitchell, </w:t>
      </w:r>
      <w:r w:rsidRPr="00B01E12">
        <w:rPr>
          <w:i/>
          <w:lang w:val="en-US"/>
        </w:rPr>
        <w:t>Carbon democracy: political power in the age of oil</w:t>
      </w:r>
      <w:r>
        <w:rPr>
          <w:lang w:val="en-US"/>
        </w:rPr>
        <w:t xml:space="preserve"> (London: Verso, 2011) Ch. 2.</w:t>
      </w:r>
    </w:p>
  </w:footnote>
  <w:footnote w:id="23">
    <w:p w14:paraId="2E69809B" w14:textId="77777777" w:rsidR="000B431D" w:rsidRDefault="000B431D" w:rsidP="00450D29">
      <w:pPr>
        <w:pStyle w:val="FootnoteText"/>
      </w:pPr>
      <w:r>
        <w:rPr>
          <w:rStyle w:val="FootnoteReference"/>
        </w:rPr>
        <w:footnoteRef/>
      </w:r>
      <w:r>
        <w:t xml:space="preserve"> Rashid Khalidi, </w:t>
      </w:r>
      <w:r w:rsidRPr="001512A5">
        <w:rPr>
          <w:i/>
        </w:rPr>
        <w:t>Resurrecting empire: Western footprints and America’s perilous path in the Middle East</w:t>
      </w:r>
      <w:r>
        <w:t xml:space="preserve"> (Boston: Beacon Press, 2004) p. 27.</w:t>
      </w:r>
    </w:p>
  </w:footnote>
  <w:footnote w:id="24">
    <w:p w14:paraId="1F2CC833" w14:textId="7251B408" w:rsidR="000B431D" w:rsidRPr="00CB7DB3" w:rsidRDefault="000B431D">
      <w:pPr>
        <w:pStyle w:val="FootnoteText"/>
        <w:rPr>
          <w:lang w:val="en-US"/>
        </w:rPr>
      </w:pPr>
      <w:r>
        <w:rPr>
          <w:rStyle w:val="FootnoteReference"/>
        </w:rPr>
        <w:footnoteRef/>
      </w:r>
      <w:r>
        <w:t xml:space="preserve"> David Omissi, </w:t>
      </w:r>
      <w:r w:rsidRPr="00AA6D35">
        <w:rPr>
          <w:i/>
        </w:rPr>
        <w:t>Air power and colonial control: the Royal Air Force 1919-1939</w:t>
      </w:r>
      <w:r>
        <w:t xml:space="preserve"> (Manchester: Manchester University Press, 1990).</w:t>
      </w:r>
    </w:p>
  </w:footnote>
  <w:footnote w:id="25">
    <w:p w14:paraId="09E58265" w14:textId="38B9A206" w:rsidR="000B431D" w:rsidRPr="004A3FDE" w:rsidRDefault="000B431D">
      <w:pPr>
        <w:pStyle w:val="FootnoteText"/>
        <w:rPr>
          <w:lang w:val="en-US"/>
        </w:rPr>
      </w:pPr>
      <w:r>
        <w:rPr>
          <w:rStyle w:val="FootnoteReference"/>
        </w:rPr>
        <w:footnoteRef/>
      </w:r>
      <w:r>
        <w:t xml:space="preserve"> </w:t>
      </w:r>
      <w:r w:rsidRPr="004A3FDE">
        <w:t>T.E. Lawrence – ‘Lawrence of Arabia’– had been drawn to the open spaces of the sky as well as those of the desert, and long before he resigned his Army commission and re-enlisted in the Royal Air Force as Aircraftsman Ross, he</w:t>
      </w:r>
      <w:r>
        <w:t xml:space="preserve"> had felt</w:t>
      </w:r>
      <w:r w:rsidRPr="004A3FDE">
        <w:t xml:space="preserve"> a close affinity between them. Patrick Deer suggests that in Lawrence’s personal mythology ‘air control in the Middle East offered a redemptive postscript to his role in the Arab Revolt of 1916-18</w:t>
      </w:r>
      <w:r>
        <w:t xml:space="preserve">’: see </w:t>
      </w:r>
      <w:r w:rsidRPr="00B01E12">
        <w:t xml:space="preserve">‘From Lawrence of Arabia to Aircraftsman Ross: air power’s imperial romance’, in his </w:t>
      </w:r>
      <w:r w:rsidRPr="00B01E12">
        <w:rPr>
          <w:i/>
        </w:rPr>
        <w:t>Culture in camouflage: war, empire and modern British literature</w:t>
      </w:r>
      <w:r w:rsidRPr="00B01E12">
        <w:t xml:space="preserve"> (Oxford: Oxford University Press, 2008) pp. 64-73.</w:t>
      </w:r>
    </w:p>
  </w:footnote>
  <w:footnote w:id="26">
    <w:p w14:paraId="285698B2" w14:textId="66440A8E" w:rsidR="000B431D" w:rsidRPr="00B01E12" w:rsidRDefault="000B431D" w:rsidP="00847F49">
      <w:pPr>
        <w:pStyle w:val="FootnoteText"/>
      </w:pPr>
      <w:r w:rsidRPr="00B01E12">
        <w:rPr>
          <w:rStyle w:val="FootnoteReference"/>
        </w:rPr>
        <w:footnoteRef/>
      </w:r>
      <w:r w:rsidRPr="00B01E12">
        <w:t xml:space="preserve"> Priya Satia, ‘The defense of inhumanity: air control and the British idea of Arabia’, </w:t>
      </w:r>
      <w:r w:rsidRPr="00B01E12">
        <w:rPr>
          <w:i/>
        </w:rPr>
        <w:t>American historical review</w:t>
      </w:r>
      <w:r>
        <w:t xml:space="preserve"> 111 (2006) 16-51; </w:t>
      </w:r>
      <w:r w:rsidRPr="00B01E12">
        <w:t xml:space="preserve">Priya Satia, </w:t>
      </w:r>
      <w:r w:rsidRPr="00B01E12">
        <w:rPr>
          <w:i/>
        </w:rPr>
        <w:t>Spies in Arabia: the Great War and the cultural foundations of Britain’s covert empire in the Middle East</w:t>
      </w:r>
      <w:r w:rsidRPr="00B01E12">
        <w:t xml:space="preserve"> (Oxford: Oxford University Press, 2008) pp. 242, 249-51, 256-8</w:t>
      </w:r>
      <w:r>
        <w:t xml:space="preserve">; Toby Dodge, ‘The imposition of order: social perception and the “despotic” power of airplanes’, in his </w:t>
      </w:r>
      <w:r w:rsidRPr="00F954C7">
        <w:rPr>
          <w:i/>
        </w:rPr>
        <w:t xml:space="preserve">Inventing Iraq: the failure of nation building and a history denied </w:t>
      </w:r>
      <w:r w:rsidRPr="001512A5">
        <w:t>(New York: Columbia University Press, 2003) pp. 131-156</w:t>
      </w:r>
      <w:r>
        <w:t>.</w:t>
      </w:r>
    </w:p>
  </w:footnote>
  <w:footnote w:id="27">
    <w:p w14:paraId="30978A5B" w14:textId="71BF9A12" w:rsidR="000B431D" w:rsidRPr="006F3BCC" w:rsidRDefault="000B431D" w:rsidP="006675F1">
      <w:pPr>
        <w:pStyle w:val="FootnoteText"/>
        <w:rPr>
          <w:lang w:val="en-US"/>
        </w:rPr>
      </w:pPr>
      <w:r>
        <w:rPr>
          <w:rStyle w:val="FootnoteReference"/>
        </w:rPr>
        <w:footnoteRef/>
      </w:r>
      <w:r>
        <w:t xml:space="preserve"> </w:t>
      </w:r>
      <w:r>
        <w:rPr>
          <w:lang w:val="en-US"/>
        </w:rPr>
        <w:t xml:space="preserve">Robert Vitalis and Steven Heydemann, ‘War, Keynesianism and colonialism’, in Steven Heydemann (ed), </w:t>
      </w:r>
      <w:r w:rsidRPr="00E811F0">
        <w:rPr>
          <w:i/>
          <w:lang w:val="en-US"/>
        </w:rPr>
        <w:t>War, institutions and social change in the Middle East</w:t>
      </w:r>
      <w:r>
        <w:rPr>
          <w:lang w:val="en-US"/>
        </w:rPr>
        <w:t xml:space="preserve"> (Berkeley: University of California Press, 2000); Roger Adelson, ‘British and US use and misuse of the term “Middle East”’, in </w:t>
      </w:r>
      <w:r>
        <w:t xml:space="preserve">Bonine, Amanat and Gasper, </w:t>
      </w:r>
      <w:r w:rsidRPr="006675F1">
        <w:t>Is there a Middle East</w:t>
      </w:r>
      <w:r>
        <w:t>? pp. 36-55: 46.</w:t>
      </w:r>
    </w:p>
  </w:footnote>
  <w:footnote w:id="28">
    <w:p w14:paraId="1E2B45CC" w14:textId="4767543C" w:rsidR="000B431D" w:rsidRPr="00652D16" w:rsidRDefault="000B431D">
      <w:pPr>
        <w:pStyle w:val="FootnoteText"/>
        <w:rPr>
          <w:lang w:val="en-US"/>
        </w:rPr>
      </w:pPr>
      <w:r>
        <w:rPr>
          <w:rStyle w:val="FootnoteReference"/>
        </w:rPr>
        <w:footnoteRef/>
      </w:r>
      <w:r>
        <w:t xml:space="preserve"> Khalidi, Sowing crisis; see also </w:t>
      </w:r>
      <w:r>
        <w:rPr>
          <w:lang w:val="en-US"/>
        </w:rPr>
        <w:t xml:space="preserve">Zachary Lochman, </w:t>
      </w:r>
      <w:r w:rsidRPr="00652D16">
        <w:rPr>
          <w:i/>
          <w:lang w:val="en-US"/>
        </w:rPr>
        <w:t>Contending visions of the Middle East</w:t>
      </w:r>
      <w:r>
        <w:rPr>
          <w:lang w:val="en-US"/>
        </w:rPr>
        <w:t xml:space="preserve"> (Cambridge: Cambridge University Press, 2004).</w:t>
      </w:r>
    </w:p>
  </w:footnote>
  <w:footnote w:id="29">
    <w:p w14:paraId="48829A67" w14:textId="5FC83FD7" w:rsidR="000B431D" w:rsidRPr="00F3461C" w:rsidRDefault="000B431D" w:rsidP="00F3461C">
      <w:pPr>
        <w:pStyle w:val="FootnoteText"/>
      </w:pPr>
      <w:r>
        <w:rPr>
          <w:rStyle w:val="FootnoteReference"/>
        </w:rPr>
        <w:footnoteRef/>
      </w:r>
      <w:r>
        <w:t xml:space="preserve"> John Morrissey, ‘</w:t>
      </w:r>
      <w:r w:rsidRPr="00465761">
        <w:t>The geo-economic pivot of the Global War on Terror: US Central Command and the war in Iraq’, in David Ryan and Patrick Kiely (eds)</w:t>
      </w:r>
      <w:r>
        <w:t>,</w:t>
      </w:r>
      <w:r w:rsidRPr="00465761">
        <w:t xml:space="preserve"> </w:t>
      </w:r>
      <w:r w:rsidRPr="00465761">
        <w:rPr>
          <w:i/>
        </w:rPr>
        <w:t>America and Iraq: policy-making, intervention and regional politics</w:t>
      </w:r>
      <w:r>
        <w:rPr>
          <w:i/>
        </w:rPr>
        <w:t xml:space="preserve"> (</w:t>
      </w:r>
      <w:r>
        <w:t>New York: Routledge, 2008)</w:t>
      </w:r>
      <w:r w:rsidRPr="00465761">
        <w:t xml:space="preserve"> pp. 103-24</w:t>
      </w:r>
      <w:r>
        <w:t xml:space="preserve">: 110. </w:t>
      </w:r>
    </w:p>
  </w:footnote>
  <w:footnote w:id="30">
    <w:p w14:paraId="28166612" w14:textId="0D709BDF" w:rsidR="000B431D" w:rsidRPr="00CF4885" w:rsidRDefault="000B431D">
      <w:pPr>
        <w:pStyle w:val="FootnoteText"/>
        <w:rPr>
          <w:lang w:val="en-US"/>
        </w:rPr>
      </w:pPr>
      <w:r>
        <w:rPr>
          <w:rStyle w:val="FootnoteReference"/>
        </w:rPr>
        <w:footnoteRef/>
      </w:r>
      <w:r>
        <w:t xml:space="preserve"> As I have argued elsewhere, the spiral of violence did not begin on 9/11: see </w:t>
      </w:r>
      <w:r>
        <w:rPr>
          <w:lang w:val="en-US"/>
        </w:rPr>
        <w:t xml:space="preserve">Derek Gregory, </w:t>
      </w:r>
      <w:r w:rsidRPr="00CF4885">
        <w:rPr>
          <w:i/>
          <w:lang w:val="en-US"/>
        </w:rPr>
        <w:t>The colonial present: Afghanistan, Palestine, Iraq</w:t>
      </w:r>
      <w:r>
        <w:rPr>
          <w:lang w:val="en-US"/>
        </w:rPr>
        <w:t xml:space="preserve"> (Oxford: Blackwell, 2004).</w:t>
      </w:r>
    </w:p>
  </w:footnote>
  <w:footnote w:id="31">
    <w:p w14:paraId="3B250275" w14:textId="489EA146" w:rsidR="000B431D" w:rsidRPr="005E794A" w:rsidRDefault="000B431D" w:rsidP="00F83DB5">
      <w:pPr>
        <w:pStyle w:val="FootnoteText"/>
        <w:rPr>
          <w:lang w:val="en-US"/>
        </w:rPr>
      </w:pPr>
      <w:r>
        <w:rPr>
          <w:rStyle w:val="FootnoteReference"/>
        </w:rPr>
        <w:footnoteRef/>
      </w:r>
      <w:r>
        <w:t xml:space="preserve"> Fareed Zakaria, ‘The politics of rage: why do they hate us?’ </w:t>
      </w:r>
      <w:r w:rsidRPr="00F461F5">
        <w:rPr>
          <w:i/>
        </w:rPr>
        <w:t>Newsweek</w:t>
      </w:r>
      <w:r>
        <w:rPr>
          <w:i/>
        </w:rPr>
        <w:t>,</w:t>
      </w:r>
      <w:r>
        <w:t xml:space="preserve"> 15 October 2001; ‘Our way’, </w:t>
      </w:r>
      <w:r w:rsidRPr="00F461F5">
        <w:rPr>
          <w:i/>
        </w:rPr>
        <w:t>New Yorker</w:t>
      </w:r>
      <w:r>
        <w:t>, October 14-21 (2002).</w:t>
      </w:r>
    </w:p>
  </w:footnote>
  <w:footnote w:id="32">
    <w:p w14:paraId="15DC141B" w14:textId="798A7AA1" w:rsidR="000B431D" w:rsidRPr="00010CCD" w:rsidRDefault="000B431D" w:rsidP="00F83DB5">
      <w:pPr>
        <w:pStyle w:val="FootnoteText"/>
        <w:rPr>
          <w:lang w:val="en-US"/>
        </w:rPr>
      </w:pPr>
      <w:r>
        <w:rPr>
          <w:rStyle w:val="FootnoteReference"/>
        </w:rPr>
        <w:footnoteRef/>
      </w:r>
      <w:r>
        <w:t xml:space="preserve"> Bobby Ghosh, ‘The young and the restless’, and Joe Klein, ‘What America can do’, in </w:t>
      </w:r>
      <w:r w:rsidRPr="00F3461C">
        <w:rPr>
          <w:i/>
        </w:rPr>
        <w:t>The New Middle East</w:t>
      </w:r>
      <w:r>
        <w:t xml:space="preserve"> (</w:t>
      </w:r>
      <w:r w:rsidRPr="00F3461C">
        <w:rPr>
          <w:i/>
        </w:rPr>
        <w:t>Time</w:t>
      </w:r>
      <w:r>
        <w:t xml:space="preserve"> Special, 2012 pp. 12-17, 110-1</w:t>
      </w:r>
      <w:r>
        <w:rPr>
          <w:lang w:val="en-US"/>
        </w:rPr>
        <w:t>.</w:t>
      </w:r>
    </w:p>
  </w:footnote>
  <w:footnote w:id="33">
    <w:p w14:paraId="28593458" w14:textId="6398BE56" w:rsidR="000B431D" w:rsidRPr="007C6642" w:rsidRDefault="000B431D">
      <w:pPr>
        <w:pStyle w:val="FootnoteText"/>
        <w:rPr>
          <w:lang w:val="en-US"/>
        </w:rPr>
      </w:pPr>
      <w:r>
        <w:rPr>
          <w:rStyle w:val="FootnoteReference"/>
        </w:rPr>
        <w:footnoteRef/>
      </w:r>
      <w:r>
        <w:t xml:space="preserve"> </w:t>
      </w:r>
      <w:r>
        <w:rPr>
          <w:lang w:val="en-US"/>
        </w:rPr>
        <w:t xml:space="preserve">Edward Said (with Jean Mohr), </w:t>
      </w:r>
      <w:r w:rsidRPr="007C6642">
        <w:rPr>
          <w:i/>
          <w:lang w:val="en-US"/>
        </w:rPr>
        <w:t>After the last sky: Palestinian lives</w:t>
      </w:r>
      <w:r>
        <w:rPr>
          <w:lang w:val="en-US"/>
        </w:rPr>
        <w:t xml:space="preserve"> (New York: Columbia University Press, 1999; first edition, New York: Pantheon, 1986) p. 166.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686"/>
    <w:rsid w:val="00003D77"/>
    <w:rsid w:val="00010239"/>
    <w:rsid w:val="00010CCD"/>
    <w:rsid w:val="00011D8C"/>
    <w:rsid w:val="00034180"/>
    <w:rsid w:val="00053502"/>
    <w:rsid w:val="00057125"/>
    <w:rsid w:val="0009458F"/>
    <w:rsid w:val="000B005C"/>
    <w:rsid w:val="000B431D"/>
    <w:rsid w:val="000E1929"/>
    <w:rsid w:val="000F6D61"/>
    <w:rsid w:val="00110CE2"/>
    <w:rsid w:val="001244C3"/>
    <w:rsid w:val="00135089"/>
    <w:rsid w:val="001421F4"/>
    <w:rsid w:val="00156EFE"/>
    <w:rsid w:val="00161512"/>
    <w:rsid w:val="0016359B"/>
    <w:rsid w:val="001704C4"/>
    <w:rsid w:val="001714C4"/>
    <w:rsid w:val="001759EB"/>
    <w:rsid w:val="00176C63"/>
    <w:rsid w:val="00192085"/>
    <w:rsid w:val="001A3AC8"/>
    <w:rsid w:val="001B1CD6"/>
    <w:rsid w:val="001B68CF"/>
    <w:rsid w:val="001F396E"/>
    <w:rsid w:val="00233845"/>
    <w:rsid w:val="00254264"/>
    <w:rsid w:val="002701CB"/>
    <w:rsid w:val="00274C96"/>
    <w:rsid w:val="0028652A"/>
    <w:rsid w:val="0029311E"/>
    <w:rsid w:val="003010E0"/>
    <w:rsid w:val="00311F7B"/>
    <w:rsid w:val="00357DA8"/>
    <w:rsid w:val="00372B77"/>
    <w:rsid w:val="003802EE"/>
    <w:rsid w:val="00382BFA"/>
    <w:rsid w:val="003875DF"/>
    <w:rsid w:val="00394693"/>
    <w:rsid w:val="003D3C7F"/>
    <w:rsid w:val="003F1662"/>
    <w:rsid w:val="0042151E"/>
    <w:rsid w:val="00437A7A"/>
    <w:rsid w:val="0044707D"/>
    <w:rsid w:val="00450D29"/>
    <w:rsid w:val="00465761"/>
    <w:rsid w:val="004A3FDE"/>
    <w:rsid w:val="004B50A8"/>
    <w:rsid w:val="00511686"/>
    <w:rsid w:val="005313BE"/>
    <w:rsid w:val="00533B2C"/>
    <w:rsid w:val="005E794A"/>
    <w:rsid w:val="0061237C"/>
    <w:rsid w:val="006128E9"/>
    <w:rsid w:val="00622352"/>
    <w:rsid w:val="00623B56"/>
    <w:rsid w:val="00634615"/>
    <w:rsid w:val="00652D16"/>
    <w:rsid w:val="0065375E"/>
    <w:rsid w:val="00667599"/>
    <w:rsid w:val="006675F1"/>
    <w:rsid w:val="006A4A61"/>
    <w:rsid w:val="006B3FBD"/>
    <w:rsid w:val="006B7A02"/>
    <w:rsid w:val="006C35B0"/>
    <w:rsid w:val="006D3BFD"/>
    <w:rsid w:val="006F23BE"/>
    <w:rsid w:val="006F3BCC"/>
    <w:rsid w:val="006F5457"/>
    <w:rsid w:val="007608AD"/>
    <w:rsid w:val="00787455"/>
    <w:rsid w:val="00791B19"/>
    <w:rsid w:val="007C6642"/>
    <w:rsid w:val="007E50BB"/>
    <w:rsid w:val="008448C0"/>
    <w:rsid w:val="00847F49"/>
    <w:rsid w:val="0086381F"/>
    <w:rsid w:val="00865F3D"/>
    <w:rsid w:val="0087010C"/>
    <w:rsid w:val="008A04AF"/>
    <w:rsid w:val="008B31B5"/>
    <w:rsid w:val="008B389E"/>
    <w:rsid w:val="008C4A07"/>
    <w:rsid w:val="008F56E5"/>
    <w:rsid w:val="008F67CC"/>
    <w:rsid w:val="0090067B"/>
    <w:rsid w:val="009516E0"/>
    <w:rsid w:val="00966287"/>
    <w:rsid w:val="009C135D"/>
    <w:rsid w:val="009F5061"/>
    <w:rsid w:val="009F7F82"/>
    <w:rsid w:val="00A35802"/>
    <w:rsid w:val="00A56BA3"/>
    <w:rsid w:val="00A616B1"/>
    <w:rsid w:val="00A64A0C"/>
    <w:rsid w:val="00A87C91"/>
    <w:rsid w:val="00A96668"/>
    <w:rsid w:val="00AB352A"/>
    <w:rsid w:val="00AB72E5"/>
    <w:rsid w:val="00AE5703"/>
    <w:rsid w:val="00AF3515"/>
    <w:rsid w:val="00AF6D0E"/>
    <w:rsid w:val="00B01E12"/>
    <w:rsid w:val="00B51223"/>
    <w:rsid w:val="00B84FE8"/>
    <w:rsid w:val="00B8595F"/>
    <w:rsid w:val="00B95477"/>
    <w:rsid w:val="00BA0D29"/>
    <w:rsid w:val="00BB618C"/>
    <w:rsid w:val="00BF09A9"/>
    <w:rsid w:val="00BF1AE9"/>
    <w:rsid w:val="00C709E3"/>
    <w:rsid w:val="00C71867"/>
    <w:rsid w:val="00C729F8"/>
    <w:rsid w:val="00C739C4"/>
    <w:rsid w:val="00C95BC9"/>
    <w:rsid w:val="00CA2FFA"/>
    <w:rsid w:val="00CA7A40"/>
    <w:rsid w:val="00CB18CE"/>
    <w:rsid w:val="00CB41A2"/>
    <w:rsid w:val="00CB75DD"/>
    <w:rsid w:val="00CB7DB3"/>
    <w:rsid w:val="00CC0E58"/>
    <w:rsid w:val="00CE309F"/>
    <w:rsid w:val="00CE4D1B"/>
    <w:rsid w:val="00CF4885"/>
    <w:rsid w:val="00D12965"/>
    <w:rsid w:val="00D2040B"/>
    <w:rsid w:val="00D231BE"/>
    <w:rsid w:val="00D3513E"/>
    <w:rsid w:val="00D355EA"/>
    <w:rsid w:val="00D80E59"/>
    <w:rsid w:val="00D97A06"/>
    <w:rsid w:val="00DB3265"/>
    <w:rsid w:val="00DF686B"/>
    <w:rsid w:val="00E01DA0"/>
    <w:rsid w:val="00E072A8"/>
    <w:rsid w:val="00E37C50"/>
    <w:rsid w:val="00E51089"/>
    <w:rsid w:val="00E55D49"/>
    <w:rsid w:val="00E811F0"/>
    <w:rsid w:val="00E9484F"/>
    <w:rsid w:val="00EB11D6"/>
    <w:rsid w:val="00ED5571"/>
    <w:rsid w:val="00EF5BA6"/>
    <w:rsid w:val="00EF64DD"/>
    <w:rsid w:val="00F23031"/>
    <w:rsid w:val="00F269BE"/>
    <w:rsid w:val="00F3461C"/>
    <w:rsid w:val="00F461F5"/>
    <w:rsid w:val="00F65568"/>
    <w:rsid w:val="00F7678D"/>
    <w:rsid w:val="00F83DB5"/>
    <w:rsid w:val="00F915EC"/>
    <w:rsid w:val="00FA0670"/>
    <w:rsid w:val="00FA13A9"/>
    <w:rsid w:val="00FC01B9"/>
    <w:rsid w:val="00FC0F3D"/>
    <w:rsid w:val="00FC6171"/>
    <w:rsid w:val="00FF56D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D4D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8"/>
        <w:szCs w:val="28"/>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010CCD"/>
    <w:rPr>
      <w:sz w:val="24"/>
      <w:szCs w:val="24"/>
    </w:rPr>
  </w:style>
  <w:style w:type="character" w:customStyle="1" w:styleId="FootnoteTextChar">
    <w:name w:val="Footnote Text Char"/>
    <w:basedOn w:val="DefaultParagraphFont"/>
    <w:link w:val="FootnoteText"/>
    <w:rsid w:val="00010CCD"/>
    <w:rPr>
      <w:sz w:val="24"/>
      <w:szCs w:val="24"/>
      <w:lang w:val="en-GB"/>
    </w:rPr>
  </w:style>
  <w:style w:type="character" w:styleId="FootnoteReference">
    <w:name w:val="footnote reference"/>
    <w:basedOn w:val="DefaultParagraphFont"/>
    <w:unhideWhenUsed/>
    <w:rsid w:val="00010CCD"/>
    <w:rPr>
      <w:vertAlign w:val="superscript"/>
    </w:rPr>
  </w:style>
  <w:style w:type="character" w:styleId="Hyperlink">
    <w:name w:val="Hyperlink"/>
    <w:basedOn w:val="DefaultParagraphFont"/>
    <w:uiPriority w:val="99"/>
    <w:unhideWhenUsed/>
    <w:rsid w:val="00010CCD"/>
    <w:rPr>
      <w:color w:val="0000FF" w:themeColor="hyperlink"/>
      <w:u w:val="single"/>
    </w:rPr>
  </w:style>
  <w:style w:type="paragraph" w:styleId="Footer">
    <w:name w:val="footer"/>
    <w:basedOn w:val="Normal"/>
    <w:link w:val="FooterChar"/>
    <w:uiPriority w:val="99"/>
    <w:unhideWhenUsed/>
    <w:rsid w:val="007E50BB"/>
    <w:pPr>
      <w:tabs>
        <w:tab w:val="center" w:pos="4320"/>
        <w:tab w:val="right" w:pos="8640"/>
      </w:tabs>
    </w:pPr>
  </w:style>
  <w:style w:type="character" w:customStyle="1" w:styleId="FooterChar">
    <w:name w:val="Footer Char"/>
    <w:basedOn w:val="DefaultParagraphFont"/>
    <w:link w:val="Footer"/>
    <w:uiPriority w:val="99"/>
    <w:rsid w:val="007E50BB"/>
    <w:rPr>
      <w:lang w:val="en-GB"/>
    </w:rPr>
  </w:style>
  <w:style w:type="character" w:styleId="PageNumber">
    <w:name w:val="page number"/>
    <w:basedOn w:val="DefaultParagraphFont"/>
    <w:uiPriority w:val="99"/>
    <w:semiHidden/>
    <w:unhideWhenUsed/>
    <w:rsid w:val="007E50B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8"/>
        <w:szCs w:val="28"/>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010CCD"/>
    <w:rPr>
      <w:sz w:val="24"/>
      <w:szCs w:val="24"/>
    </w:rPr>
  </w:style>
  <w:style w:type="character" w:customStyle="1" w:styleId="FootnoteTextChar">
    <w:name w:val="Footnote Text Char"/>
    <w:basedOn w:val="DefaultParagraphFont"/>
    <w:link w:val="FootnoteText"/>
    <w:rsid w:val="00010CCD"/>
    <w:rPr>
      <w:sz w:val="24"/>
      <w:szCs w:val="24"/>
      <w:lang w:val="en-GB"/>
    </w:rPr>
  </w:style>
  <w:style w:type="character" w:styleId="FootnoteReference">
    <w:name w:val="footnote reference"/>
    <w:basedOn w:val="DefaultParagraphFont"/>
    <w:unhideWhenUsed/>
    <w:rsid w:val="00010CCD"/>
    <w:rPr>
      <w:vertAlign w:val="superscript"/>
    </w:rPr>
  </w:style>
  <w:style w:type="character" w:styleId="Hyperlink">
    <w:name w:val="Hyperlink"/>
    <w:basedOn w:val="DefaultParagraphFont"/>
    <w:uiPriority w:val="99"/>
    <w:unhideWhenUsed/>
    <w:rsid w:val="00010CCD"/>
    <w:rPr>
      <w:color w:val="0000FF" w:themeColor="hyperlink"/>
      <w:u w:val="single"/>
    </w:rPr>
  </w:style>
  <w:style w:type="paragraph" w:styleId="Footer">
    <w:name w:val="footer"/>
    <w:basedOn w:val="Normal"/>
    <w:link w:val="FooterChar"/>
    <w:uiPriority w:val="99"/>
    <w:unhideWhenUsed/>
    <w:rsid w:val="007E50BB"/>
    <w:pPr>
      <w:tabs>
        <w:tab w:val="center" w:pos="4320"/>
        <w:tab w:val="right" w:pos="8640"/>
      </w:tabs>
    </w:pPr>
  </w:style>
  <w:style w:type="character" w:customStyle="1" w:styleId="FooterChar">
    <w:name w:val="Footer Char"/>
    <w:basedOn w:val="DefaultParagraphFont"/>
    <w:link w:val="Footer"/>
    <w:uiPriority w:val="99"/>
    <w:rsid w:val="007E50BB"/>
    <w:rPr>
      <w:lang w:val="en-GB"/>
    </w:rPr>
  </w:style>
  <w:style w:type="character" w:styleId="PageNumber">
    <w:name w:val="page number"/>
    <w:basedOn w:val="DefaultParagraphFont"/>
    <w:uiPriority w:val="99"/>
    <w:semiHidden/>
    <w:unhideWhenUsed/>
    <w:rsid w:val="007E5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en.wikipedia.org/wiki/Antwerp"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1465</TotalTime>
  <Pages>20</Pages>
  <Words>4566</Words>
  <Characters>23840</Characters>
  <Application>Microsoft Macintosh Word</Application>
  <DocSecurity>0</DocSecurity>
  <Lines>425</Lines>
  <Paragraphs>29</Paragraphs>
  <ScaleCrop>false</ScaleCrop>
  <Company>University of British Columbia at Vancouver</Company>
  <LinksUpToDate>false</LinksUpToDate>
  <CharactersWithSpaces>28377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Gregory</dc:creator>
  <cp:keywords/>
  <dc:description/>
  <cp:lastModifiedBy>Derek Gregory</cp:lastModifiedBy>
  <cp:revision>58</cp:revision>
  <dcterms:created xsi:type="dcterms:W3CDTF">2012-05-12T23:11:00Z</dcterms:created>
  <dcterms:modified xsi:type="dcterms:W3CDTF">2012-06-10T17:15:00Z</dcterms:modified>
</cp:coreProperties>
</file>